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3EED" w14:textId="77777777" w:rsidR="006736B7" w:rsidRPr="00517843" w:rsidRDefault="006736B7" w:rsidP="001D0FE5">
      <w:pPr>
        <w:pStyle w:val="Heading2"/>
        <w:jc w:val="left"/>
        <w:rPr>
          <w:color w:val="auto"/>
        </w:rPr>
      </w:pPr>
      <w:r w:rsidRPr="00517843">
        <w:rPr>
          <w:color w:val="auto"/>
        </w:rPr>
        <w:t>Lancashire will be the place to live</w:t>
      </w:r>
    </w:p>
    <w:p w14:paraId="70F9E402" w14:textId="77777777" w:rsidR="001D0FE5" w:rsidRPr="00517843" w:rsidRDefault="001D0FE5" w:rsidP="001D0FE5">
      <w:pPr>
        <w:pStyle w:val="NoSpacing"/>
        <w:jc w:val="right"/>
        <w:rPr>
          <w:rFonts w:eastAsiaTheme="minorHAnsi"/>
          <w:i/>
        </w:rPr>
      </w:pPr>
      <w:r w:rsidRPr="00517843">
        <w:rPr>
          <w:rFonts w:eastAsiaTheme="minorHAnsi"/>
          <w:i/>
        </w:rPr>
        <w:t xml:space="preserve">Key for performance: </w:t>
      </w:r>
    </w:p>
    <w:tbl>
      <w:tblPr>
        <w:tblW w:w="5967" w:type="dxa"/>
        <w:jc w:val="right"/>
        <w:tblLook w:val="04A0" w:firstRow="1" w:lastRow="0" w:firstColumn="1" w:lastColumn="0" w:noHBand="0" w:noVBand="1"/>
      </w:tblPr>
      <w:tblGrid>
        <w:gridCol w:w="1447"/>
        <w:gridCol w:w="2440"/>
        <w:gridCol w:w="2080"/>
      </w:tblGrid>
      <w:tr w:rsidR="0001784B" w:rsidRPr="00517843" w14:paraId="51F436E5" w14:textId="77777777" w:rsidTr="00435DDD">
        <w:trPr>
          <w:trHeight w:val="172"/>
          <w:jc w:val="right"/>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DAD1FBB" w14:textId="77777777" w:rsidR="001D0FE5" w:rsidRPr="00517843" w:rsidRDefault="001D0FE5" w:rsidP="00AB4748">
            <w:pPr>
              <w:rPr>
                <w:rFonts w:cs="Arial"/>
                <w:i/>
                <w:iCs/>
                <w:color w:val="auto"/>
                <w:sz w:val="18"/>
                <w:szCs w:val="18"/>
              </w:rPr>
            </w:pPr>
            <w:r w:rsidRPr="00517843">
              <w:rPr>
                <w:rFonts w:cs="Arial"/>
                <w:i/>
                <w:iCs/>
                <w:color w:val="auto"/>
                <w:sz w:val="18"/>
                <w:szCs w:val="18"/>
              </w:rPr>
              <w:t>On track/good</w:t>
            </w:r>
          </w:p>
        </w:tc>
        <w:tc>
          <w:tcPr>
            <w:tcW w:w="2440"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35A71E47" w14:textId="77777777" w:rsidR="001D0FE5" w:rsidRPr="00517843" w:rsidRDefault="001D0FE5" w:rsidP="00AB4748">
            <w:pPr>
              <w:rPr>
                <w:rFonts w:cs="Arial"/>
                <w:i/>
                <w:iCs/>
                <w:color w:val="auto"/>
                <w:sz w:val="18"/>
                <w:szCs w:val="18"/>
              </w:rPr>
            </w:pPr>
            <w:r w:rsidRPr="00517843">
              <w:rPr>
                <w:rFonts w:cs="Arial"/>
                <w:i/>
                <w:iCs/>
                <w:color w:val="auto"/>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14:paraId="67415F5C" w14:textId="77777777" w:rsidR="001D0FE5" w:rsidRPr="00517843" w:rsidRDefault="001D0FE5" w:rsidP="00AB4748">
            <w:pPr>
              <w:rPr>
                <w:rFonts w:cs="Arial"/>
                <w:i/>
                <w:color w:val="auto"/>
                <w:sz w:val="18"/>
                <w:szCs w:val="18"/>
              </w:rPr>
            </w:pPr>
            <w:r w:rsidRPr="00517843">
              <w:rPr>
                <w:rFonts w:cs="Arial"/>
                <w:i/>
                <w:color w:val="FFFFFF" w:themeColor="background1"/>
                <w:sz w:val="18"/>
                <w:szCs w:val="18"/>
              </w:rPr>
              <w:t>Requires improvement</w:t>
            </w:r>
          </w:p>
        </w:tc>
      </w:tr>
    </w:tbl>
    <w:p w14:paraId="20EACD4E" w14:textId="77777777" w:rsidR="00622E7F" w:rsidRPr="00BD4E0A" w:rsidRDefault="00622E7F" w:rsidP="00622E7F">
      <w:pPr>
        <w:pStyle w:val="NoSpacing"/>
        <w:rPr>
          <w:rFonts w:ascii="Arial" w:hAnsi="Arial" w:cs="Arial"/>
          <w:color w:val="0070C0"/>
        </w:rPr>
      </w:pPr>
    </w:p>
    <w:p w14:paraId="09C73438" w14:textId="1D5C1A2B" w:rsidR="0030579F" w:rsidRDefault="0030579F" w:rsidP="0055170D">
      <w:pPr>
        <w:pStyle w:val="NoSpacing"/>
        <w:jc w:val="both"/>
        <w:rPr>
          <w:rFonts w:ascii="Arial" w:hAnsi="Arial" w:cs="Arial"/>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1560"/>
        <w:gridCol w:w="850"/>
        <w:gridCol w:w="1559"/>
        <w:gridCol w:w="1276"/>
        <w:gridCol w:w="1276"/>
        <w:gridCol w:w="1276"/>
        <w:gridCol w:w="1701"/>
        <w:gridCol w:w="1275"/>
      </w:tblGrid>
      <w:tr w:rsidR="005F2EB2" w:rsidRPr="00BD4E0A" w14:paraId="29FF7BC8" w14:textId="77777777" w:rsidTr="005D49BA">
        <w:trPr>
          <w:trHeight w:val="1116"/>
          <w:jc w:val="center"/>
        </w:trPr>
        <w:tc>
          <w:tcPr>
            <w:tcW w:w="3114" w:type="dxa"/>
            <w:tcBorders>
              <w:top w:val="single" w:sz="4" w:space="0" w:color="auto"/>
              <w:left w:val="single" w:sz="4" w:space="0" w:color="auto"/>
              <w:bottom w:val="single" w:sz="4" w:space="0" w:color="auto"/>
              <w:right w:val="single" w:sz="4" w:space="0" w:color="auto"/>
            </w:tcBorders>
            <w:hideMark/>
          </w:tcPr>
          <w:p w14:paraId="43B364A2" w14:textId="73FAF234" w:rsidR="005F2EB2" w:rsidRPr="00517843" w:rsidRDefault="005F2EB2" w:rsidP="005F2EB2">
            <w:pPr>
              <w:pStyle w:val="NoSpacing"/>
              <w:rPr>
                <w:rFonts w:ascii="Arial" w:hAnsi="Arial" w:cs="Arial"/>
                <w:b/>
              </w:rPr>
            </w:pPr>
            <w:r w:rsidRPr="0047796E">
              <w:rPr>
                <w:rFonts w:ascii="Arial" w:hAnsi="Arial" w:cs="Arial"/>
                <w:b/>
                <w:sz w:val="20"/>
                <w:szCs w:val="20"/>
              </w:rPr>
              <w:t>Performance Indicator</w:t>
            </w:r>
          </w:p>
        </w:tc>
        <w:tc>
          <w:tcPr>
            <w:tcW w:w="1417" w:type="dxa"/>
            <w:tcBorders>
              <w:top w:val="single" w:sz="4" w:space="0" w:color="auto"/>
              <w:left w:val="single" w:sz="4" w:space="0" w:color="auto"/>
              <w:bottom w:val="single" w:sz="4" w:space="0" w:color="auto"/>
              <w:right w:val="single" w:sz="4" w:space="0" w:color="auto"/>
            </w:tcBorders>
            <w:hideMark/>
          </w:tcPr>
          <w:p w14:paraId="5428694D" w14:textId="6B7D7F5C" w:rsidR="005F2EB2" w:rsidRPr="00517843" w:rsidRDefault="005F2EB2" w:rsidP="005F2EB2">
            <w:pPr>
              <w:pStyle w:val="NoSpacing"/>
              <w:rPr>
                <w:rFonts w:ascii="Arial" w:hAnsi="Arial" w:cs="Arial"/>
                <w:b/>
              </w:rPr>
            </w:pPr>
            <w:r w:rsidRPr="0047796E">
              <w:rPr>
                <w:rFonts w:ascii="Arial" w:hAnsi="Arial" w:cs="Arial"/>
                <w:b/>
                <w:sz w:val="20"/>
                <w:szCs w:val="20"/>
              </w:rPr>
              <w:t>Frequency</w:t>
            </w:r>
          </w:p>
        </w:tc>
        <w:tc>
          <w:tcPr>
            <w:tcW w:w="1560" w:type="dxa"/>
            <w:tcBorders>
              <w:top w:val="single" w:sz="4" w:space="0" w:color="auto"/>
              <w:left w:val="single" w:sz="4" w:space="0" w:color="auto"/>
              <w:bottom w:val="single" w:sz="4" w:space="0" w:color="auto"/>
              <w:right w:val="single" w:sz="4" w:space="0" w:color="auto"/>
            </w:tcBorders>
          </w:tcPr>
          <w:p w14:paraId="2D5C8FA2" w14:textId="3B0187DF" w:rsidR="005F2EB2" w:rsidRPr="00517843" w:rsidRDefault="005F2EB2" w:rsidP="005F2EB2">
            <w:pPr>
              <w:pStyle w:val="NoSpacing"/>
              <w:rPr>
                <w:rFonts w:ascii="Arial" w:hAnsi="Arial" w:cs="Arial"/>
                <w:b/>
              </w:rPr>
            </w:pPr>
            <w:r w:rsidRPr="0047796E">
              <w:rPr>
                <w:rFonts w:ascii="Arial" w:hAnsi="Arial" w:cs="Arial"/>
                <w:b/>
                <w:sz w:val="20"/>
                <w:szCs w:val="20"/>
              </w:rPr>
              <w:t xml:space="preserve">Directorate </w:t>
            </w:r>
          </w:p>
        </w:tc>
        <w:tc>
          <w:tcPr>
            <w:tcW w:w="850" w:type="dxa"/>
            <w:tcBorders>
              <w:top w:val="single" w:sz="4" w:space="0" w:color="auto"/>
              <w:left w:val="single" w:sz="4" w:space="0" w:color="auto"/>
              <w:bottom w:val="single" w:sz="4" w:space="0" w:color="auto"/>
              <w:right w:val="single" w:sz="4" w:space="0" w:color="auto"/>
            </w:tcBorders>
          </w:tcPr>
          <w:p w14:paraId="52FEF977" w14:textId="07EC449F" w:rsidR="005F2EB2" w:rsidRPr="00517843" w:rsidRDefault="005F2EB2" w:rsidP="005F2EB2">
            <w:pPr>
              <w:pStyle w:val="NoSpacing"/>
              <w:rPr>
                <w:rFonts w:ascii="Arial" w:hAnsi="Arial" w:cs="Arial"/>
                <w:b/>
              </w:rPr>
            </w:pPr>
            <w:r w:rsidRPr="0047796E">
              <w:rPr>
                <w:rFonts w:ascii="Arial" w:hAnsi="Arial" w:cs="Arial"/>
                <w:b/>
                <w:sz w:val="20"/>
                <w:szCs w:val="20"/>
              </w:rPr>
              <w:t>Good 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183F17" w14:textId="440C5C80" w:rsidR="005F2EB2" w:rsidRPr="00517843" w:rsidRDefault="005F2EB2" w:rsidP="005F2EB2">
            <w:pPr>
              <w:pStyle w:val="NoSpacing"/>
              <w:rPr>
                <w:rFonts w:ascii="Arial" w:hAnsi="Arial" w:cs="Arial"/>
                <w:b/>
              </w:rPr>
            </w:pPr>
            <w:r w:rsidRPr="00300F36">
              <w:rPr>
                <w:rFonts w:ascii="Arial" w:hAnsi="Arial" w:cs="Arial"/>
                <w:b/>
                <w:sz w:val="20"/>
                <w:szCs w:val="20"/>
              </w:rPr>
              <w:t>2019/20 Outturn</w:t>
            </w:r>
          </w:p>
        </w:tc>
        <w:tc>
          <w:tcPr>
            <w:tcW w:w="1276" w:type="dxa"/>
            <w:tcBorders>
              <w:top w:val="single" w:sz="4" w:space="0" w:color="auto"/>
              <w:left w:val="single" w:sz="4" w:space="0" w:color="auto"/>
              <w:bottom w:val="single" w:sz="4" w:space="0" w:color="auto"/>
              <w:right w:val="single" w:sz="4" w:space="0" w:color="auto"/>
            </w:tcBorders>
          </w:tcPr>
          <w:p w14:paraId="5D75B29D" w14:textId="6684B6AF" w:rsidR="005F2EB2" w:rsidRPr="00517843" w:rsidRDefault="005F2EB2" w:rsidP="005F2EB2">
            <w:pPr>
              <w:pStyle w:val="NoSpacing"/>
              <w:rPr>
                <w:rFonts w:ascii="Arial" w:hAnsi="Arial" w:cs="Arial"/>
                <w:b/>
              </w:rPr>
            </w:pPr>
            <w:r w:rsidRPr="0047796E">
              <w:rPr>
                <w:rFonts w:ascii="Arial" w:hAnsi="Arial" w:cs="Arial"/>
                <w:b/>
                <w:sz w:val="20"/>
                <w:szCs w:val="20"/>
              </w:rPr>
              <w:t xml:space="preserve">2020/21 Quarter 1 </w:t>
            </w:r>
            <w:r w:rsidRPr="00300F36">
              <w:rPr>
                <w:rFonts w:ascii="Arial" w:hAnsi="Arial" w:cs="Arial"/>
                <w:b/>
                <w:sz w:val="18"/>
                <w:szCs w:val="18"/>
              </w:rPr>
              <w:t>(April –June)</w:t>
            </w:r>
          </w:p>
        </w:tc>
        <w:tc>
          <w:tcPr>
            <w:tcW w:w="1276" w:type="dxa"/>
            <w:tcBorders>
              <w:top w:val="single" w:sz="4" w:space="0" w:color="auto"/>
              <w:left w:val="single" w:sz="4" w:space="0" w:color="auto"/>
              <w:bottom w:val="single" w:sz="4" w:space="0" w:color="auto"/>
              <w:right w:val="single" w:sz="4" w:space="0" w:color="auto"/>
            </w:tcBorders>
          </w:tcPr>
          <w:p w14:paraId="7201FED6" w14:textId="5F01FCED" w:rsidR="005F2EB2" w:rsidRDefault="005F2EB2" w:rsidP="005F2EB2">
            <w:pPr>
              <w:pStyle w:val="NoSpacing"/>
              <w:rPr>
                <w:rFonts w:ascii="Arial" w:hAnsi="Arial" w:cs="Arial"/>
                <w:b/>
              </w:rPr>
            </w:pPr>
            <w:r w:rsidRPr="0047796E">
              <w:rPr>
                <w:rFonts w:ascii="Arial" w:hAnsi="Arial" w:cs="Arial"/>
                <w:b/>
                <w:sz w:val="20"/>
                <w:szCs w:val="20"/>
              </w:rPr>
              <w:t xml:space="preserve">Quarter 2 </w:t>
            </w:r>
            <w:r w:rsidRPr="00300F36">
              <w:rPr>
                <w:rFonts w:ascii="Arial" w:hAnsi="Arial" w:cs="Arial"/>
                <w:b/>
                <w:sz w:val="18"/>
                <w:szCs w:val="18"/>
              </w:rPr>
              <w:t>(July –September)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57BC9" w14:textId="413E6136" w:rsidR="005F2EB2" w:rsidRPr="00517843" w:rsidRDefault="005F2EB2" w:rsidP="005F2EB2">
            <w:pPr>
              <w:pStyle w:val="NoSpacing"/>
              <w:rPr>
                <w:rFonts w:ascii="Arial" w:hAnsi="Arial" w:cs="Arial"/>
                <w:b/>
              </w:rPr>
            </w:pPr>
            <w:r w:rsidRPr="0047796E">
              <w:rPr>
                <w:rFonts w:ascii="Arial" w:hAnsi="Arial" w:cs="Arial"/>
                <w:b/>
                <w:sz w:val="20"/>
                <w:szCs w:val="20"/>
              </w:rPr>
              <w:t xml:space="preserve">Quarter 3 </w:t>
            </w:r>
            <w:r w:rsidRPr="00300F36">
              <w:rPr>
                <w:rFonts w:ascii="Arial" w:hAnsi="Arial" w:cs="Arial"/>
                <w:b/>
                <w:sz w:val="18"/>
                <w:szCs w:val="18"/>
              </w:rPr>
              <w:t>(October - December)</w:t>
            </w:r>
          </w:p>
        </w:tc>
        <w:tc>
          <w:tcPr>
            <w:tcW w:w="1701" w:type="dxa"/>
            <w:tcBorders>
              <w:top w:val="single" w:sz="4" w:space="0" w:color="auto"/>
              <w:left w:val="single" w:sz="4" w:space="0" w:color="auto"/>
              <w:bottom w:val="single" w:sz="4" w:space="0" w:color="auto"/>
              <w:right w:val="single" w:sz="4" w:space="0" w:color="auto"/>
            </w:tcBorders>
          </w:tcPr>
          <w:p w14:paraId="317280BF" w14:textId="341D2A46" w:rsidR="005F2EB2" w:rsidRDefault="005F2EB2" w:rsidP="005F2EB2">
            <w:pPr>
              <w:pStyle w:val="NoSpacing"/>
              <w:rPr>
                <w:rFonts w:ascii="Arial" w:hAnsi="Arial" w:cs="Arial"/>
                <w:b/>
              </w:rPr>
            </w:pPr>
            <w:r w:rsidRPr="0047796E">
              <w:rPr>
                <w:rFonts w:ascii="Arial" w:hAnsi="Arial" w:cs="Arial"/>
                <w:b/>
                <w:sz w:val="20"/>
                <w:szCs w:val="20"/>
              </w:rPr>
              <w:t xml:space="preserve">Quarter 4 </w:t>
            </w:r>
            <w:r w:rsidRPr="00300F36">
              <w:rPr>
                <w:rFonts w:ascii="Arial" w:hAnsi="Arial" w:cs="Arial"/>
                <w:b/>
                <w:sz w:val="18"/>
                <w:szCs w:val="18"/>
              </w:rPr>
              <w:t>(January - March)</w:t>
            </w:r>
          </w:p>
        </w:tc>
        <w:tc>
          <w:tcPr>
            <w:tcW w:w="1275" w:type="dxa"/>
            <w:tcBorders>
              <w:top w:val="single" w:sz="4" w:space="0" w:color="auto"/>
              <w:left w:val="single" w:sz="4" w:space="0" w:color="auto"/>
              <w:bottom w:val="single" w:sz="4" w:space="0" w:color="auto"/>
              <w:right w:val="single" w:sz="4" w:space="0" w:color="auto"/>
            </w:tcBorders>
          </w:tcPr>
          <w:p w14:paraId="26DA9128" w14:textId="5AFD894F" w:rsidR="005F2EB2" w:rsidRPr="00517843" w:rsidRDefault="005F2EB2" w:rsidP="005F2EB2">
            <w:pPr>
              <w:pStyle w:val="NoSpacing"/>
              <w:rPr>
                <w:rFonts w:ascii="Arial" w:hAnsi="Arial" w:cs="Arial"/>
                <w:b/>
              </w:rPr>
            </w:pPr>
            <w:r w:rsidRPr="0047796E">
              <w:rPr>
                <w:rFonts w:ascii="Arial" w:hAnsi="Arial" w:cs="Arial"/>
                <w:b/>
                <w:sz w:val="20"/>
                <w:szCs w:val="20"/>
              </w:rPr>
              <w:t>2020/21 Target</w:t>
            </w:r>
          </w:p>
        </w:tc>
      </w:tr>
      <w:tr w:rsidR="00975B35" w:rsidRPr="00BD4E0A" w14:paraId="3DDF65D7" w14:textId="77777777" w:rsidTr="00551AC1">
        <w:trPr>
          <w:trHeight w:val="852"/>
          <w:jc w:val="center"/>
        </w:trPr>
        <w:tc>
          <w:tcPr>
            <w:tcW w:w="3114" w:type="dxa"/>
            <w:tcBorders>
              <w:top w:val="single" w:sz="4" w:space="0" w:color="auto"/>
              <w:left w:val="single" w:sz="4" w:space="0" w:color="auto"/>
              <w:bottom w:val="single" w:sz="4" w:space="0" w:color="auto"/>
              <w:right w:val="single" w:sz="4" w:space="0" w:color="auto"/>
            </w:tcBorders>
            <w:hideMark/>
          </w:tcPr>
          <w:p w14:paraId="493C6FBD" w14:textId="77777777" w:rsidR="00975B35" w:rsidRPr="00517843" w:rsidRDefault="00975B35" w:rsidP="0030579F">
            <w:pPr>
              <w:pStyle w:val="NoSpacing"/>
              <w:rPr>
                <w:rFonts w:ascii="Arial" w:hAnsi="Arial" w:cs="Arial"/>
              </w:rPr>
            </w:pPr>
            <w:r>
              <w:rPr>
                <w:rFonts w:ascii="Arial" w:hAnsi="Arial" w:cs="Arial"/>
              </w:rPr>
              <w:t>Safety carriageway d</w:t>
            </w:r>
            <w:r w:rsidRPr="00517843">
              <w:rPr>
                <w:rFonts w:ascii="Arial" w:hAnsi="Arial" w:cs="Arial"/>
              </w:rPr>
              <w:t>efects repaired within 4 hours (emergency)</w:t>
            </w:r>
          </w:p>
        </w:tc>
        <w:tc>
          <w:tcPr>
            <w:tcW w:w="1417" w:type="dxa"/>
            <w:tcBorders>
              <w:top w:val="single" w:sz="4" w:space="0" w:color="auto"/>
              <w:left w:val="single" w:sz="4" w:space="0" w:color="auto"/>
              <w:bottom w:val="single" w:sz="4" w:space="0" w:color="auto"/>
              <w:right w:val="single" w:sz="4" w:space="0" w:color="auto"/>
            </w:tcBorders>
            <w:hideMark/>
          </w:tcPr>
          <w:p w14:paraId="2E977576" w14:textId="77777777" w:rsidR="00975B35" w:rsidRPr="00517843" w:rsidRDefault="00975B35"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0381F481" w14:textId="77777777" w:rsidR="00975B35" w:rsidRPr="00517843" w:rsidRDefault="00975B35"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14:paraId="2B8DBB07" w14:textId="77777777" w:rsidR="00975B35" w:rsidRPr="00517843" w:rsidRDefault="00975B35"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561F2AC0" w14:textId="77777777" w:rsidR="00975B35" w:rsidRPr="004019BF" w:rsidRDefault="00975B35" w:rsidP="0030579F">
            <w:pPr>
              <w:pStyle w:val="NoSpacing"/>
              <w:jc w:val="center"/>
              <w:rPr>
                <w:rFonts w:ascii="Arial" w:hAnsi="Arial" w:cs="Arial"/>
                <w:color w:val="FFFFFF" w:themeColor="background1"/>
              </w:rPr>
            </w:pPr>
            <w:r w:rsidRPr="00DE5D47">
              <w:rPr>
                <w:rFonts w:ascii="Arial" w:hAnsi="Arial" w:cs="Arial"/>
              </w:rPr>
              <w:t>92.63%</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B7F91F" w14:textId="77777777" w:rsidR="00975B35" w:rsidRPr="004019BF" w:rsidRDefault="00975B35" w:rsidP="0030579F">
            <w:pPr>
              <w:pStyle w:val="NoSpacing"/>
              <w:jc w:val="center"/>
              <w:rPr>
                <w:rFonts w:ascii="Arial" w:hAnsi="Arial" w:cs="Arial"/>
                <w:color w:val="FFFFFF" w:themeColor="background1"/>
              </w:rPr>
            </w:pPr>
            <w:r>
              <w:rPr>
                <w:rFonts w:ascii="Arial" w:hAnsi="Arial" w:cs="Arial"/>
              </w:rPr>
              <w:t>96.88</w:t>
            </w:r>
            <w:r w:rsidRPr="00DE5D4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0DCC6EC" w14:textId="77777777" w:rsidR="00975B35" w:rsidRDefault="00975B35" w:rsidP="0030579F">
            <w:pPr>
              <w:pStyle w:val="NoSpacing"/>
              <w:jc w:val="center"/>
              <w:rPr>
                <w:rFonts w:ascii="Arial" w:hAnsi="Arial" w:cs="Arial"/>
              </w:rPr>
            </w:pPr>
            <w:r>
              <w:rPr>
                <w:rFonts w:ascii="Arial" w:hAnsi="Arial" w:cs="Arial"/>
              </w:rPr>
              <w:t>92.</w:t>
            </w:r>
            <w:r w:rsidRPr="00B54BD1">
              <w:rPr>
                <w:rFonts w:ascii="Arial" w:hAnsi="Arial" w:cs="Arial"/>
              </w:rPr>
              <w:t>50</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0C8091A" w14:textId="77777777" w:rsidR="00975B35" w:rsidRPr="00517843" w:rsidRDefault="00975B35" w:rsidP="0030579F">
            <w:pPr>
              <w:pStyle w:val="NoSpacing"/>
              <w:jc w:val="center"/>
              <w:rPr>
                <w:rFonts w:ascii="Arial" w:hAnsi="Arial" w:cs="Arial"/>
              </w:rPr>
            </w:pPr>
            <w:r>
              <w:rPr>
                <w:rFonts w:ascii="Arial" w:hAnsi="Arial" w:cs="Arial"/>
              </w:rPr>
              <w:t>90.00%</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7880C5E9" w14:textId="41115F76" w:rsidR="00975B35" w:rsidRPr="00517843" w:rsidRDefault="00551AC1" w:rsidP="0030579F">
            <w:pPr>
              <w:pStyle w:val="NoSpacing"/>
              <w:jc w:val="center"/>
              <w:rPr>
                <w:rFonts w:ascii="Arial" w:hAnsi="Arial" w:cs="Arial"/>
              </w:rPr>
            </w:pPr>
            <w:r>
              <w:rPr>
                <w:rFonts w:ascii="Arial" w:hAnsi="Arial" w:cs="Arial"/>
              </w:rPr>
              <w:t>90.38</w:t>
            </w:r>
          </w:p>
        </w:tc>
        <w:tc>
          <w:tcPr>
            <w:tcW w:w="1275" w:type="dxa"/>
            <w:tcBorders>
              <w:top w:val="single" w:sz="4" w:space="0" w:color="auto"/>
              <w:left w:val="single" w:sz="4" w:space="0" w:color="auto"/>
              <w:bottom w:val="single" w:sz="4" w:space="0" w:color="auto"/>
              <w:right w:val="single" w:sz="4" w:space="0" w:color="auto"/>
            </w:tcBorders>
          </w:tcPr>
          <w:p w14:paraId="2511FB38" w14:textId="10C1DE7B" w:rsidR="00975B35" w:rsidRPr="00517843" w:rsidRDefault="00975B35" w:rsidP="0030579F">
            <w:pPr>
              <w:pStyle w:val="NoSpacing"/>
              <w:jc w:val="center"/>
              <w:rPr>
                <w:rFonts w:ascii="Arial" w:hAnsi="Arial" w:cs="Arial"/>
              </w:rPr>
            </w:pPr>
            <w:r w:rsidRPr="00517843">
              <w:rPr>
                <w:rFonts w:ascii="Arial" w:hAnsi="Arial" w:cs="Arial"/>
              </w:rPr>
              <w:t>95%</w:t>
            </w:r>
          </w:p>
        </w:tc>
      </w:tr>
      <w:tr w:rsidR="00975B35" w:rsidRPr="00BD4E0A" w14:paraId="26E9870E" w14:textId="77777777" w:rsidTr="00551AC1">
        <w:trPr>
          <w:trHeight w:val="863"/>
          <w:jc w:val="center"/>
        </w:trPr>
        <w:tc>
          <w:tcPr>
            <w:tcW w:w="3114" w:type="dxa"/>
            <w:tcBorders>
              <w:top w:val="single" w:sz="4" w:space="0" w:color="auto"/>
              <w:left w:val="single" w:sz="4" w:space="0" w:color="auto"/>
              <w:bottom w:val="single" w:sz="4" w:space="0" w:color="auto"/>
              <w:right w:val="single" w:sz="4" w:space="0" w:color="auto"/>
            </w:tcBorders>
            <w:hideMark/>
          </w:tcPr>
          <w:p w14:paraId="3E52C26C" w14:textId="77777777" w:rsidR="00975B35" w:rsidRPr="00517843" w:rsidRDefault="00975B35" w:rsidP="0030579F">
            <w:pPr>
              <w:pStyle w:val="NoSpacing"/>
              <w:rPr>
                <w:rFonts w:ascii="Arial" w:hAnsi="Arial" w:cs="Arial"/>
              </w:rPr>
            </w:pPr>
            <w:r>
              <w:rPr>
                <w:rFonts w:ascii="Arial" w:hAnsi="Arial" w:cs="Arial"/>
              </w:rPr>
              <w:t>Safety carriageway d</w:t>
            </w:r>
            <w:r w:rsidRPr="00517843">
              <w:rPr>
                <w:rFonts w:ascii="Arial" w:hAnsi="Arial" w:cs="Arial"/>
              </w:rPr>
              <w:t>efects repaired within 2 working days (urgent)</w:t>
            </w:r>
          </w:p>
        </w:tc>
        <w:tc>
          <w:tcPr>
            <w:tcW w:w="1417" w:type="dxa"/>
            <w:tcBorders>
              <w:top w:val="single" w:sz="4" w:space="0" w:color="auto"/>
              <w:left w:val="single" w:sz="4" w:space="0" w:color="auto"/>
              <w:bottom w:val="single" w:sz="4" w:space="0" w:color="auto"/>
              <w:right w:val="single" w:sz="4" w:space="0" w:color="auto"/>
            </w:tcBorders>
            <w:hideMark/>
          </w:tcPr>
          <w:p w14:paraId="07F9707F" w14:textId="77777777" w:rsidR="00975B35" w:rsidRPr="00517843" w:rsidRDefault="00975B35"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075D61A7" w14:textId="77777777" w:rsidR="00975B35" w:rsidRPr="00517843" w:rsidRDefault="00975B35"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14:paraId="2477E8E9" w14:textId="77777777" w:rsidR="00975B35" w:rsidRPr="00517843" w:rsidRDefault="00975B35"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4ED452B3" w14:textId="77777777" w:rsidR="00975B35" w:rsidRPr="00F044C2" w:rsidRDefault="00975B35" w:rsidP="0030579F">
            <w:pPr>
              <w:pStyle w:val="NoSpacing"/>
              <w:jc w:val="center"/>
              <w:rPr>
                <w:rFonts w:ascii="Arial" w:hAnsi="Arial" w:cs="Arial"/>
                <w:i/>
              </w:rPr>
            </w:pPr>
            <w:r w:rsidRPr="00F044C2">
              <w:rPr>
                <w:rFonts w:ascii="Arial" w:hAnsi="Arial" w:cs="Arial"/>
                <w:i/>
              </w:rPr>
              <w:t>92.02%</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427570CC" w14:textId="77777777" w:rsidR="00975B35" w:rsidRPr="00DE5D47" w:rsidRDefault="00975B35" w:rsidP="0030579F">
            <w:pPr>
              <w:pStyle w:val="NoSpacing"/>
              <w:jc w:val="center"/>
              <w:rPr>
                <w:rFonts w:ascii="Arial" w:hAnsi="Arial" w:cs="Arial"/>
              </w:rPr>
            </w:pPr>
            <w:r w:rsidRPr="00DE5D47">
              <w:rPr>
                <w:rFonts w:ascii="Arial" w:hAnsi="Arial" w:cs="Arial"/>
              </w:rPr>
              <w:t>84.82%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1ECC" w14:textId="77777777" w:rsidR="00975B35" w:rsidRDefault="00975B35" w:rsidP="0030579F">
            <w:pPr>
              <w:pStyle w:val="NoSpacing"/>
              <w:jc w:val="center"/>
              <w:rPr>
                <w:rFonts w:ascii="Arial" w:hAnsi="Arial" w:cs="Arial"/>
              </w:rPr>
            </w:pPr>
            <w:r>
              <w:rPr>
                <w:rFonts w:ascii="Arial" w:hAnsi="Arial" w:cs="Arial"/>
              </w:rPr>
              <w:t>96.32%</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E2B4609" w14:textId="77777777" w:rsidR="00975B35" w:rsidRPr="00517843" w:rsidRDefault="00975B35" w:rsidP="0030579F">
            <w:pPr>
              <w:pStyle w:val="NoSpacing"/>
              <w:jc w:val="center"/>
              <w:rPr>
                <w:rFonts w:ascii="Arial" w:hAnsi="Arial" w:cs="Arial"/>
              </w:rPr>
            </w:pPr>
            <w:r>
              <w:rPr>
                <w:rFonts w:ascii="Arial" w:hAnsi="Arial" w:cs="Arial"/>
              </w:rPr>
              <w:t>88.18%</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3E0E9159" w14:textId="5024F187" w:rsidR="00975B35" w:rsidRPr="00517843" w:rsidRDefault="00551AC1" w:rsidP="0030579F">
            <w:pPr>
              <w:pStyle w:val="NoSpacing"/>
              <w:jc w:val="center"/>
              <w:rPr>
                <w:rFonts w:ascii="Arial" w:hAnsi="Arial" w:cs="Arial"/>
              </w:rPr>
            </w:pPr>
            <w:r>
              <w:rPr>
                <w:rFonts w:ascii="Arial" w:hAnsi="Arial" w:cs="Arial"/>
              </w:rPr>
              <w:t>84.45</w:t>
            </w:r>
          </w:p>
        </w:tc>
        <w:tc>
          <w:tcPr>
            <w:tcW w:w="1275" w:type="dxa"/>
            <w:tcBorders>
              <w:top w:val="single" w:sz="4" w:space="0" w:color="auto"/>
              <w:left w:val="single" w:sz="4" w:space="0" w:color="auto"/>
              <w:bottom w:val="single" w:sz="4" w:space="0" w:color="auto"/>
              <w:right w:val="single" w:sz="4" w:space="0" w:color="auto"/>
            </w:tcBorders>
          </w:tcPr>
          <w:p w14:paraId="3D2A9D83" w14:textId="7F356271" w:rsidR="00975B35" w:rsidRPr="00517843" w:rsidRDefault="00975B35" w:rsidP="0030579F">
            <w:pPr>
              <w:pStyle w:val="NoSpacing"/>
              <w:jc w:val="center"/>
              <w:rPr>
                <w:rFonts w:ascii="Arial" w:hAnsi="Arial" w:cs="Arial"/>
              </w:rPr>
            </w:pPr>
            <w:r w:rsidRPr="00517843">
              <w:rPr>
                <w:rFonts w:ascii="Arial" w:hAnsi="Arial" w:cs="Arial"/>
              </w:rPr>
              <w:t>95%</w:t>
            </w:r>
          </w:p>
        </w:tc>
      </w:tr>
      <w:tr w:rsidR="00975B35" w:rsidRPr="00BD4E0A" w14:paraId="79DB6F8E" w14:textId="77777777" w:rsidTr="005E1B76">
        <w:trPr>
          <w:trHeight w:val="474"/>
          <w:jc w:val="center"/>
        </w:trPr>
        <w:tc>
          <w:tcPr>
            <w:tcW w:w="3114" w:type="dxa"/>
            <w:tcBorders>
              <w:top w:val="single" w:sz="4" w:space="0" w:color="auto"/>
              <w:left w:val="single" w:sz="4" w:space="0" w:color="auto"/>
              <w:bottom w:val="single" w:sz="4" w:space="0" w:color="auto"/>
              <w:right w:val="single" w:sz="4" w:space="0" w:color="auto"/>
            </w:tcBorders>
            <w:hideMark/>
          </w:tcPr>
          <w:p w14:paraId="67EEDD1B" w14:textId="77777777" w:rsidR="00975B35" w:rsidRPr="00517843" w:rsidRDefault="00975B35" w:rsidP="0030579F">
            <w:pPr>
              <w:pStyle w:val="NoSpacing"/>
              <w:rPr>
                <w:rFonts w:ascii="Arial" w:hAnsi="Arial" w:cs="Arial"/>
              </w:rPr>
            </w:pPr>
            <w:r>
              <w:rPr>
                <w:rFonts w:ascii="Arial" w:hAnsi="Arial" w:cs="Arial"/>
              </w:rPr>
              <w:t>Safety carriageway d</w:t>
            </w:r>
            <w:r w:rsidRPr="00517843">
              <w:rPr>
                <w:rFonts w:ascii="Arial" w:hAnsi="Arial" w:cs="Arial"/>
              </w:rPr>
              <w:t xml:space="preserve">efects repaired within 5 working days (non-urgent) </w:t>
            </w:r>
          </w:p>
        </w:tc>
        <w:tc>
          <w:tcPr>
            <w:tcW w:w="1417" w:type="dxa"/>
            <w:tcBorders>
              <w:top w:val="single" w:sz="4" w:space="0" w:color="auto"/>
              <w:left w:val="single" w:sz="4" w:space="0" w:color="auto"/>
              <w:bottom w:val="single" w:sz="4" w:space="0" w:color="auto"/>
              <w:right w:val="single" w:sz="4" w:space="0" w:color="auto"/>
            </w:tcBorders>
            <w:hideMark/>
          </w:tcPr>
          <w:p w14:paraId="51A5376A" w14:textId="77777777" w:rsidR="00975B35" w:rsidRPr="00517843" w:rsidRDefault="00975B35"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4A4BB8D8" w14:textId="77777777" w:rsidR="00975B35" w:rsidRPr="00517843" w:rsidRDefault="00975B35"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14:paraId="55FF206B" w14:textId="77777777" w:rsidR="00975B35" w:rsidRPr="00517843" w:rsidRDefault="00975B35"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7D369C64" w14:textId="77777777" w:rsidR="00975B35" w:rsidRPr="00F044C2" w:rsidRDefault="00975B35" w:rsidP="0030579F">
            <w:pPr>
              <w:pStyle w:val="NoSpacing"/>
              <w:jc w:val="center"/>
              <w:rPr>
                <w:rFonts w:ascii="Arial" w:hAnsi="Arial" w:cs="Arial"/>
                <w:i/>
              </w:rPr>
            </w:pPr>
            <w:r w:rsidRPr="00F044C2">
              <w:rPr>
                <w:rFonts w:ascii="Arial" w:hAnsi="Arial" w:cs="Arial"/>
                <w:i/>
              </w:rPr>
              <w:t>86.06%</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1AA0BD" w14:textId="77777777" w:rsidR="00975B35" w:rsidRPr="00DE5D47" w:rsidRDefault="00975B35" w:rsidP="0030579F">
            <w:pPr>
              <w:pStyle w:val="NoSpacing"/>
              <w:jc w:val="center"/>
              <w:rPr>
                <w:rFonts w:ascii="Arial" w:hAnsi="Arial" w:cs="Arial"/>
              </w:rPr>
            </w:pPr>
            <w:r w:rsidRPr="00DE5D47">
              <w:rPr>
                <w:rFonts w:ascii="Arial" w:hAnsi="Arial" w:cs="Arial"/>
              </w:rPr>
              <w:t>87.32%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95489B" w14:textId="77777777" w:rsidR="00975B35" w:rsidRDefault="00975B35" w:rsidP="0030579F">
            <w:pPr>
              <w:pStyle w:val="NoSpacing"/>
              <w:jc w:val="center"/>
              <w:rPr>
                <w:rFonts w:ascii="Arial" w:hAnsi="Arial" w:cs="Arial"/>
              </w:rPr>
            </w:pPr>
            <w:r>
              <w:rPr>
                <w:rFonts w:ascii="Arial" w:hAnsi="Arial" w:cs="Arial"/>
              </w:rPr>
              <w:t>91.81%</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D0F22E6" w14:textId="77777777" w:rsidR="00975B35" w:rsidRPr="00517843" w:rsidRDefault="00975B35" w:rsidP="0030579F">
            <w:pPr>
              <w:pStyle w:val="NoSpacing"/>
              <w:jc w:val="center"/>
              <w:rPr>
                <w:rFonts w:ascii="Arial" w:hAnsi="Arial" w:cs="Arial"/>
              </w:rPr>
            </w:pPr>
            <w:r>
              <w:rPr>
                <w:rFonts w:ascii="Arial" w:hAnsi="Arial" w:cs="Arial"/>
              </w:rPr>
              <w:t>88.91%</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7CC9D9F8" w14:textId="55FC7B88" w:rsidR="00975B35" w:rsidRPr="00517843" w:rsidRDefault="00551AC1" w:rsidP="0030579F">
            <w:pPr>
              <w:pStyle w:val="NoSpacing"/>
              <w:jc w:val="center"/>
              <w:rPr>
                <w:rFonts w:ascii="Arial" w:hAnsi="Arial" w:cs="Arial"/>
              </w:rPr>
            </w:pPr>
            <w:r>
              <w:rPr>
                <w:rFonts w:ascii="Arial" w:hAnsi="Arial" w:cs="Arial"/>
              </w:rPr>
              <w:t>74.05</w:t>
            </w:r>
          </w:p>
        </w:tc>
        <w:tc>
          <w:tcPr>
            <w:tcW w:w="1275" w:type="dxa"/>
            <w:tcBorders>
              <w:top w:val="single" w:sz="4" w:space="0" w:color="auto"/>
              <w:left w:val="single" w:sz="4" w:space="0" w:color="auto"/>
              <w:bottom w:val="single" w:sz="4" w:space="0" w:color="auto"/>
              <w:right w:val="single" w:sz="4" w:space="0" w:color="auto"/>
            </w:tcBorders>
          </w:tcPr>
          <w:p w14:paraId="08BA9B10" w14:textId="4FEAC664" w:rsidR="00975B35" w:rsidRPr="00517843" w:rsidRDefault="00975B35" w:rsidP="0030579F">
            <w:pPr>
              <w:pStyle w:val="NoSpacing"/>
              <w:jc w:val="center"/>
              <w:rPr>
                <w:rFonts w:ascii="Arial" w:hAnsi="Arial" w:cs="Arial"/>
              </w:rPr>
            </w:pPr>
            <w:r w:rsidRPr="00517843">
              <w:rPr>
                <w:rFonts w:ascii="Arial" w:hAnsi="Arial" w:cs="Arial"/>
              </w:rPr>
              <w:t>90%</w:t>
            </w:r>
          </w:p>
        </w:tc>
      </w:tr>
      <w:tr w:rsidR="00975B35" w:rsidRPr="00BD4E0A" w14:paraId="6270C900" w14:textId="77777777" w:rsidTr="00551AC1">
        <w:trPr>
          <w:trHeight w:val="474"/>
          <w:jc w:val="center"/>
        </w:trPr>
        <w:tc>
          <w:tcPr>
            <w:tcW w:w="3114" w:type="dxa"/>
            <w:tcBorders>
              <w:top w:val="single" w:sz="4" w:space="0" w:color="auto"/>
              <w:left w:val="single" w:sz="4" w:space="0" w:color="auto"/>
              <w:bottom w:val="single" w:sz="4" w:space="0" w:color="auto"/>
              <w:right w:val="single" w:sz="4" w:space="0" w:color="auto"/>
            </w:tcBorders>
            <w:hideMark/>
          </w:tcPr>
          <w:p w14:paraId="72538402" w14:textId="77777777" w:rsidR="00975B35" w:rsidRPr="00517843" w:rsidRDefault="00975B35" w:rsidP="0030579F">
            <w:pPr>
              <w:pStyle w:val="NoSpacing"/>
              <w:rPr>
                <w:rFonts w:ascii="Arial" w:hAnsi="Arial" w:cs="Arial"/>
              </w:rPr>
            </w:pPr>
            <w:r>
              <w:rPr>
                <w:rFonts w:ascii="Arial" w:hAnsi="Arial" w:cs="Arial"/>
              </w:rPr>
              <w:t>Safety carriageway d</w:t>
            </w:r>
            <w:r w:rsidRPr="00517843">
              <w:rPr>
                <w:rFonts w:ascii="Arial" w:hAnsi="Arial" w:cs="Arial"/>
              </w:rPr>
              <w:t>efects repaired within 20 working days (non-urgent)</w:t>
            </w:r>
          </w:p>
        </w:tc>
        <w:tc>
          <w:tcPr>
            <w:tcW w:w="1417" w:type="dxa"/>
            <w:tcBorders>
              <w:top w:val="single" w:sz="4" w:space="0" w:color="auto"/>
              <w:left w:val="single" w:sz="4" w:space="0" w:color="auto"/>
              <w:bottom w:val="single" w:sz="4" w:space="0" w:color="auto"/>
              <w:right w:val="single" w:sz="4" w:space="0" w:color="auto"/>
            </w:tcBorders>
            <w:hideMark/>
          </w:tcPr>
          <w:p w14:paraId="08FC3073" w14:textId="77777777" w:rsidR="00975B35" w:rsidRPr="00517843" w:rsidRDefault="00975B35"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4DDB58A9" w14:textId="77777777" w:rsidR="00975B35" w:rsidRPr="00517843" w:rsidRDefault="00975B35"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14:paraId="72E51DAA" w14:textId="77777777" w:rsidR="00975B35" w:rsidRPr="00517843" w:rsidRDefault="00975B35"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384E1A" w14:textId="77777777" w:rsidR="00975B35" w:rsidRPr="00DE5D47" w:rsidRDefault="00975B35" w:rsidP="0030579F">
            <w:pPr>
              <w:pStyle w:val="NoSpacing"/>
              <w:jc w:val="center"/>
              <w:rPr>
                <w:rFonts w:ascii="Arial" w:hAnsi="Arial" w:cs="Arial"/>
              </w:rPr>
            </w:pPr>
            <w:r w:rsidRPr="00DE5D47">
              <w:rPr>
                <w:rFonts w:ascii="Arial" w:hAnsi="Arial" w:cs="Arial"/>
              </w:rPr>
              <w:t>94.29%</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19112A" w14:textId="77777777" w:rsidR="00975B35" w:rsidRPr="00DE5D47" w:rsidRDefault="00975B35" w:rsidP="0030579F">
            <w:pPr>
              <w:pStyle w:val="NoSpacing"/>
              <w:jc w:val="center"/>
              <w:rPr>
                <w:rFonts w:ascii="Arial" w:hAnsi="Arial" w:cs="Arial"/>
              </w:rPr>
            </w:pPr>
            <w:r w:rsidRPr="00DE5D47">
              <w:rPr>
                <w:rFonts w:ascii="Arial" w:hAnsi="Arial" w:cs="Arial"/>
              </w:rPr>
              <w:t>98.57%</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B44A4E" w14:textId="77777777" w:rsidR="00975B35" w:rsidRDefault="00975B35" w:rsidP="0030579F">
            <w:pPr>
              <w:pStyle w:val="NoSpacing"/>
              <w:jc w:val="center"/>
              <w:rPr>
                <w:rFonts w:ascii="Arial" w:hAnsi="Arial" w:cs="Arial"/>
              </w:rPr>
            </w:pPr>
            <w:r>
              <w:rPr>
                <w:rFonts w:ascii="Arial" w:hAnsi="Arial" w:cs="Arial"/>
              </w:rPr>
              <w:t>94.51%</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936835" w14:textId="77777777" w:rsidR="00975B35" w:rsidRPr="00517843" w:rsidRDefault="00975B35" w:rsidP="0030579F">
            <w:pPr>
              <w:pStyle w:val="NoSpacing"/>
              <w:jc w:val="center"/>
              <w:rPr>
                <w:rFonts w:ascii="Arial" w:hAnsi="Arial" w:cs="Arial"/>
              </w:rPr>
            </w:pPr>
            <w:r>
              <w:rPr>
                <w:rFonts w:ascii="Arial" w:hAnsi="Arial" w:cs="Arial"/>
              </w:rPr>
              <w:t>93.34%</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5332AFE5" w14:textId="5DB6EA5A" w:rsidR="00975B35" w:rsidRPr="00517843" w:rsidRDefault="00551AC1" w:rsidP="0030579F">
            <w:pPr>
              <w:pStyle w:val="NoSpacing"/>
              <w:jc w:val="center"/>
              <w:rPr>
                <w:rFonts w:ascii="Arial" w:hAnsi="Arial" w:cs="Arial"/>
              </w:rPr>
            </w:pPr>
            <w:r>
              <w:rPr>
                <w:rFonts w:ascii="Arial" w:hAnsi="Arial" w:cs="Arial"/>
              </w:rPr>
              <w:t>73.04</w:t>
            </w:r>
          </w:p>
        </w:tc>
        <w:tc>
          <w:tcPr>
            <w:tcW w:w="1275" w:type="dxa"/>
            <w:tcBorders>
              <w:top w:val="single" w:sz="4" w:space="0" w:color="auto"/>
              <w:left w:val="single" w:sz="4" w:space="0" w:color="auto"/>
              <w:bottom w:val="single" w:sz="4" w:space="0" w:color="auto"/>
              <w:right w:val="single" w:sz="4" w:space="0" w:color="auto"/>
            </w:tcBorders>
          </w:tcPr>
          <w:p w14:paraId="321172E0" w14:textId="66BBF1A8" w:rsidR="00975B35" w:rsidRPr="00517843" w:rsidRDefault="00975B35" w:rsidP="0030579F">
            <w:pPr>
              <w:pStyle w:val="NoSpacing"/>
              <w:jc w:val="center"/>
              <w:rPr>
                <w:rFonts w:ascii="Arial" w:hAnsi="Arial" w:cs="Arial"/>
              </w:rPr>
            </w:pPr>
            <w:r w:rsidRPr="00517843">
              <w:rPr>
                <w:rFonts w:ascii="Arial" w:hAnsi="Arial" w:cs="Arial"/>
              </w:rPr>
              <w:t>90%</w:t>
            </w:r>
          </w:p>
        </w:tc>
      </w:tr>
      <w:tr w:rsidR="00975B35" w:rsidRPr="00BD4E0A" w14:paraId="17711552" w14:textId="77777777" w:rsidTr="005E1B76">
        <w:trPr>
          <w:trHeight w:val="474"/>
          <w:jc w:val="center"/>
        </w:trPr>
        <w:tc>
          <w:tcPr>
            <w:tcW w:w="3114" w:type="dxa"/>
            <w:tcBorders>
              <w:top w:val="single" w:sz="4" w:space="0" w:color="auto"/>
              <w:left w:val="single" w:sz="4" w:space="0" w:color="auto"/>
              <w:bottom w:val="single" w:sz="4" w:space="0" w:color="auto"/>
              <w:right w:val="single" w:sz="4" w:space="0" w:color="auto"/>
            </w:tcBorders>
          </w:tcPr>
          <w:p w14:paraId="1BDBF13D" w14:textId="73E58931" w:rsidR="00975B35" w:rsidRPr="00AF11A4" w:rsidRDefault="007B69B2" w:rsidP="00140DF8">
            <w:pPr>
              <w:pStyle w:val="NoSpacing"/>
              <w:rPr>
                <w:rFonts w:ascii="Arial" w:hAnsi="Arial" w:cs="Arial"/>
                <w:color w:val="000000"/>
              </w:rPr>
            </w:pPr>
            <w:r>
              <w:rPr>
                <w:rFonts w:ascii="Arial" w:hAnsi="Arial" w:cs="Arial"/>
                <w:color w:val="000000"/>
              </w:rPr>
              <w:t>Percentage</w:t>
            </w:r>
            <w:r w:rsidR="00975B35" w:rsidRPr="00AF11A4">
              <w:rPr>
                <w:rFonts w:ascii="Arial" w:hAnsi="Arial" w:cs="Arial"/>
                <w:color w:val="000000"/>
              </w:rPr>
              <w:t xml:space="preserve"> of Non-Traffic Management (NTM)</w:t>
            </w:r>
            <w:r w:rsidR="00975B35">
              <w:rPr>
                <w:rFonts w:ascii="Arial" w:hAnsi="Arial" w:cs="Arial"/>
                <w:color w:val="000000"/>
              </w:rPr>
              <w:t xml:space="preserve"> lamp-out </w:t>
            </w:r>
            <w:r w:rsidR="00975B35" w:rsidRPr="00AF11A4">
              <w:rPr>
                <w:rFonts w:ascii="Arial" w:hAnsi="Arial" w:cs="Arial"/>
                <w:color w:val="000000"/>
              </w:rPr>
              <w:t>faults repaired within 5 working days</w:t>
            </w:r>
          </w:p>
        </w:tc>
        <w:tc>
          <w:tcPr>
            <w:tcW w:w="1417" w:type="dxa"/>
            <w:tcBorders>
              <w:top w:val="single" w:sz="4" w:space="0" w:color="auto"/>
              <w:left w:val="single" w:sz="4" w:space="0" w:color="auto"/>
              <w:bottom w:val="single" w:sz="4" w:space="0" w:color="auto"/>
              <w:right w:val="single" w:sz="4" w:space="0" w:color="auto"/>
            </w:tcBorders>
          </w:tcPr>
          <w:p w14:paraId="5FC26010" w14:textId="77777777" w:rsidR="00975B35" w:rsidRPr="00517843" w:rsidRDefault="00975B35"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3EEC3AC7" w14:textId="77777777" w:rsidR="00975B35" w:rsidRPr="00517843" w:rsidRDefault="00975B35"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14:paraId="0797AC87" w14:textId="77777777" w:rsidR="00975B35" w:rsidRDefault="00975B35" w:rsidP="0030579F">
            <w:pPr>
              <w:pStyle w:val="NoSpacing"/>
              <w:rPr>
                <w:rFonts w:ascii="Arial" w:hAnsi="Arial" w:cs="Arial"/>
              </w:rPr>
            </w:pPr>
          </w:p>
          <w:p w14:paraId="60C26E6A" w14:textId="77777777" w:rsidR="00975B35" w:rsidRPr="00517843" w:rsidRDefault="00975B35" w:rsidP="0030579F">
            <w:pPr>
              <w:pStyle w:val="NoSpacing"/>
              <w:rPr>
                <w:rFonts w:ascii="Arial" w:hAnsi="Arial" w:cs="Arial"/>
              </w:rPr>
            </w:pPr>
            <w:r>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A6E29D" w14:textId="6821F012" w:rsidR="00975B35" w:rsidRPr="00E12711" w:rsidRDefault="00975B35" w:rsidP="0030579F">
            <w:pPr>
              <w:pStyle w:val="NoSpacing"/>
              <w:rPr>
                <w:rFonts w:ascii="Arial" w:hAnsi="Arial" w:cs="Arial"/>
                <w:color w:val="FFFFFF" w:themeColor="background1"/>
              </w:rPr>
            </w:pPr>
            <w:r w:rsidRPr="00C22234">
              <w:rPr>
                <w:rFonts w:ascii="Arial" w:hAnsi="Arial" w:cs="Arial"/>
              </w:rPr>
              <w:t xml:space="preserve">New </w:t>
            </w:r>
            <w:r>
              <w:rPr>
                <w:rFonts w:ascii="Arial" w:hAnsi="Arial" w:cs="Arial"/>
              </w:rPr>
              <w:t>quarterly measures starting from Q1 2020/21</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05082BE" w14:textId="77777777" w:rsidR="00975B35" w:rsidRPr="00E12711" w:rsidRDefault="00975B35" w:rsidP="0030579F">
            <w:pPr>
              <w:pStyle w:val="NoSpacing"/>
              <w:jc w:val="center"/>
              <w:rPr>
                <w:rFonts w:ascii="Arial" w:hAnsi="Arial" w:cs="Arial"/>
                <w:color w:val="FFFFFF" w:themeColor="background1"/>
              </w:rPr>
            </w:pPr>
            <w:r w:rsidRPr="00DE5D47">
              <w:rPr>
                <w:rFonts w:ascii="Arial" w:hAnsi="Arial" w:cs="Arial"/>
              </w:rPr>
              <w:t>81.95%</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B48778" w14:textId="77777777" w:rsidR="00975B35" w:rsidRDefault="00975B35" w:rsidP="0030579F">
            <w:pPr>
              <w:pStyle w:val="NoSpacing"/>
              <w:jc w:val="center"/>
              <w:rPr>
                <w:rFonts w:ascii="Arial" w:hAnsi="Arial" w:cs="Arial"/>
              </w:rPr>
            </w:pPr>
            <w:r>
              <w:rPr>
                <w:rFonts w:ascii="Arial" w:hAnsi="Arial" w:cs="Arial"/>
              </w:rPr>
              <w:t>92%</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14:paraId="17BDD545" w14:textId="77777777" w:rsidR="00975B35" w:rsidRDefault="00975B35" w:rsidP="0030579F">
            <w:pPr>
              <w:pStyle w:val="NoSpacing"/>
              <w:jc w:val="center"/>
              <w:rPr>
                <w:rFonts w:ascii="Arial" w:hAnsi="Arial" w:cs="Arial"/>
              </w:rPr>
            </w:pPr>
            <w:r>
              <w:rPr>
                <w:rFonts w:ascii="Arial" w:hAnsi="Arial" w:cs="Arial"/>
              </w:rPr>
              <w:t>90%</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14:paraId="48F5FD12" w14:textId="3F5E7AAA" w:rsidR="00975B35" w:rsidRDefault="005E1B76" w:rsidP="005E1B76">
            <w:pPr>
              <w:pStyle w:val="NoSpacing"/>
              <w:jc w:val="center"/>
              <w:rPr>
                <w:rFonts w:ascii="Arial" w:hAnsi="Arial" w:cs="Arial"/>
              </w:rPr>
            </w:pPr>
            <w:r>
              <w:rPr>
                <w:rFonts w:ascii="Arial" w:hAnsi="Arial" w:cs="Arial"/>
              </w:rPr>
              <w:t>91%</w:t>
            </w:r>
          </w:p>
        </w:tc>
        <w:tc>
          <w:tcPr>
            <w:tcW w:w="1275" w:type="dxa"/>
            <w:tcBorders>
              <w:top w:val="single" w:sz="4" w:space="0" w:color="auto"/>
              <w:left w:val="single" w:sz="4" w:space="0" w:color="auto"/>
              <w:bottom w:val="single" w:sz="4" w:space="0" w:color="auto"/>
              <w:right w:val="single" w:sz="4" w:space="0" w:color="auto"/>
            </w:tcBorders>
          </w:tcPr>
          <w:p w14:paraId="68AB8743" w14:textId="5A92B350" w:rsidR="00975B35" w:rsidRDefault="00975B35" w:rsidP="00122FB0">
            <w:pPr>
              <w:pStyle w:val="NoSpacing"/>
              <w:jc w:val="center"/>
              <w:rPr>
                <w:rFonts w:ascii="Arial" w:hAnsi="Arial" w:cs="Arial"/>
              </w:rPr>
            </w:pPr>
            <w:r>
              <w:rPr>
                <w:rFonts w:ascii="Arial" w:hAnsi="Arial" w:cs="Arial"/>
              </w:rPr>
              <w:t>90% within 5 working days</w:t>
            </w:r>
          </w:p>
        </w:tc>
      </w:tr>
      <w:tr w:rsidR="00975B35" w:rsidRPr="00BD4E0A" w14:paraId="13DDE286" w14:textId="77777777" w:rsidTr="005E1B76">
        <w:trPr>
          <w:trHeight w:val="474"/>
          <w:jc w:val="center"/>
        </w:trPr>
        <w:tc>
          <w:tcPr>
            <w:tcW w:w="3114" w:type="dxa"/>
            <w:tcBorders>
              <w:top w:val="single" w:sz="4" w:space="0" w:color="auto"/>
              <w:left w:val="single" w:sz="4" w:space="0" w:color="auto"/>
              <w:bottom w:val="single" w:sz="4" w:space="0" w:color="auto"/>
              <w:right w:val="single" w:sz="4" w:space="0" w:color="auto"/>
            </w:tcBorders>
          </w:tcPr>
          <w:p w14:paraId="684BA78E" w14:textId="4B7B5995" w:rsidR="00975B35" w:rsidRPr="00AF11A4" w:rsidRDefault="007B69B2" w:rsidP="0030579F">
            <w:pPr>
              <w:pStyle w:val="NoSpacing"/>
              <w:rPr>
                <w:rFonts w:ascii="Arial" w:hAnsi="Arial" w:cs="Arial"/>
              </w:rPr>
            </w:pPr>
            <w:r>
              <w:rPr>
                <w:rFonts w:ascii="Arial" w:hAnsi="Arial" w:cs="Arial"/>
                <w:color w:val="000000"/>
              </w:rPr>
              <w:t>Percentage</w:t>
            </w:r>
            <w:r w:rsidR="00975B35" w:rsidRPr="00AF11A4">
              <w:rPr>
                <w:rFonts w:ascii="Arial" w:hAnsi="Arial" w:cs="Arial"/>
                <w:color w:val="000000"/>
              </w:rPr>
              <w:t xml:space="preserve"> of Traffic Management (TM) lamp-out faults repaired within 20 working days</w:t>
            </w:r>
          </w:p>
        </w:tc>
        <w:tc>
          <w:tcPr>
            <w:tcW w:w="1417" w:type="dxa"/>
            <w:tcBorders>
              <w:top w:val="single" w:sz="4" w:space="0" w:color="auto"/>
              <w:left w:val="single" w:sz="4" w:space="0" w:color="auto"/>
              <w:bottom w:val="single" w:sz="4" w:space="0" w:color="auto"/>
              <w:right w:val="single" w:sz="4" w:space="0" w:color="auto"/>
            </w:tcBorders>
          </w:tcPr>
          <w:p w14:paraId="05AD62FD" w14:textId="77777777" w:rsidR="00975B35" w:rsidRDefault="00975B35" w:rsidP="0030579F">
            <w:pPr>
              <w:pStyle w:val="NoSpacing"/>
              <w:rPr>
                <w:rFonts w:ascii="Arial" w:hAnsi="Arial" w:cs="Arial"/>
              </w:rPr>
            </w:pPr>
            <w:r w:rsidRPr="00517843">
              <w:rPr>
                <w:rFonts w:ascii="Arial" w:hAnsi="Arial" w:cs="Arial"/>
              </w:rPr>
              <w:t>Quarterly</w:t>
            </w:r>
          </w:p>
          <w:p w14:paraId="3967D857" w14:textId="490D8D49" w:rsidR="00975B35" w:rsidRPr="00517843" w:rsidRDefault="00975B35" w:rsidP="0030579F">
            <w:pPr>
              <w:pStyle w:val="NoSpacing"/>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FE34EB4" w14:textId="77777777" w:rsidR="00975B35" w:rsidRPr="00517843" w:rsidRDefault="00975B35"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14:paraId="2E4F4C13" w14:textId="77777777" w:rsidR="00975B35" w:rsidRDefault="00975B35" w:rsidP="0030579F">
            <w:pPr>
              <w:pStyle w:val="NoSpacing"/>
              <w:rPr>
                <w:rFonts w:ascii="Arial" w:hAnsi="Arial" w:cs="Arial"/>
              </w:rPr>
            </w:pPr>
          </w:p>
          <w:p w14:paraId="332631F8" w14:textId="77777777" w:rsidR="00975B35" w:rsidRPr="00517843" w:rsidRDefault="00975B35" w:rsidP="0030579F">
            <w:pPr>
              <w:pStyle w:val="NoSpacing"/>
              <w:rPr>
                <w:rFonts w:ascii="Arial" w:hAnsi="Arial" w:cs="Arial"/>
              </w:rPr>
            </w:pPr>
            <w:r>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2DD00A" w14:textId="2822EB28" w:rsidR="00975B35" w:rsidRDefault="00975B35" w:rsidP="0030579F">
            <w:pPr>
              <w:pStyle w:val="NoSpacing"/>
              <w:rPr>
                <w:rFonts w:ascii="Arial" w:hAnsi="Arial" w:cs="Arial"/>
              </w:rPr>
            </w:pPr>
            <w:r w:rsidRPr="00C22234">
              <w:rPr>
                <w:rFonts w:ascii="Arial" w:hAnsi="Arial" w:cs="Arial"/>
              </w:rPr>
              <w:t xml:space="preserve">New </w:t>
            </w:r>
            <w:r>
              <w:rPr>
                <w:rFonts w:ascii="Arial" w:hAnsi="Arial" w:cs="Arial"/>
              </w:rPr>
              <w:t>quarterly measures starting from Q1 2020/21</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92E773" w14:textId="77777777" w:rsidR="00975B35" w:rsidRDefault="00975B35" w:rsidP="0030579F">
            <w:pPr>
              <w:pStyle w:val="NoSpacing"/>
              <w:jc w:val="center"/>
              <w:rPr>
                <w:rFonts w:ascii="Arial" w:hAnsi="Arial" w:cs="Arial"/>
                <w:color w:val="0070C0"/>
              </w:rPr>
            </w:pPr>
            <w:r w:rsidRPr="00E12711">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61C5FC1E" w14:textId="77777777" w:rsidR="00975B35" w:rsidRDefault="00975B35" w:rsidP="0030579F">
            <w:pPr>
              <w:pStyle w:val="NoSpacing"/>
              <w:jc w:val="center"/>
              <w:rPr>
                <w:rFonts w:ascii="Arial" w:hAnsi="Arial" w:cs="Arial"/>
              </w:rPr>
            </w:pPr>
            <w:r>
              <w:rPr>
                <w:rFonts w:ascii="Arial" w:hAnsi="Arial" w:cs="Arial"/>
              </w:rPr>
              <w:t>87%</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36606D5" w14:textId="77777777" w:rsidR="00975B35" w:rsidRDefault="00975B35" w:rsidP="0030579F">
            <w:pPr>
              <w:pStyle w:val="NoSpacing"/>
              <w:jc w:val="center"/>
              <w:rPr>
                <w:rFonts w:ascii="Arial" w:hAnsi="Arial" w:cs="Arial"/>
              </w:rPr>
            </w:pPr>
            <w:r>
              <w:rPr>
                <w:rFonts w:ascii="Arial" w:hAnsi="Arial" w:cs="Arial"/>
              </w:rPr>
              <w:t>84%</w:t>
            </w: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687864C2" w14:textId="02A604B1" w:rsidR="00975B35" w:rsidRDefault="005E1B76" w:rsidP="005E1B76">
            <w:pPr>
              <w:pStyle w:val="NoSpacing"/>
              <w:jc w:val="center"/>
              <w:rPr>
                <w:rFonts w:ascii="Arial" w:hAnsi="Arial" w:cs="Arial"/>
              </w:rPr>
            </w:pPr>
            <w:r>
              <w:rPr>
                <w:rFonts w:ascii="Arial" w:hAnsi="Arial" w:cs="Arial"/>
              </w:rPr>
              <w:t>89%</w:t>
            </w:r>
          </w:p>
        </w:tc>
        <w:tc>
          <w:tcPr>
            <w:tcW w:w="1275" w:type="dxa"/>
            <w:tcBorders>
              <w:top w:val="single" w:sz="4" w:space="0" w:color="auto"/>
              <w:left w:val="single" w:sz="4" w:space="0" w:color="auto"/>
              <w:bottom w:val="single" w:sz="4" w:space="0" w:color="auto"/>
              <w:right w:val="single" w:sz="4" w:space="0" w:color="auto"/>
            </w:tcBorders>
          </w:tcPr>
          <w:p w14:paraId="7C20DD7C" w14:textId="1FFA82CB" w:rsidR="00975B35" w:rsidRPr="00517843" w:rsidRDefault="00975B35" w:rsidP="00122FB0">
            <w:pPr>
              <w:pStyle w:val="NoSpacing"/>
              <w:jc w:val="center"/>
              <w:rPr>
                <w:rFonts w:ascii="Arial" w:hAnsi="Arial" w:cs="Arial"/>
              </w:rPr>
            </w:pPr>
            <w:r>
              <w:rPr>
                <w:rFonts w:ascii="Arial" w:hAnsi="Arial" w:cs="Arial"/>
              </w:rPr>
              <w:t>90% within 20 working days</w:t>
            </w:r>
          </w:p>
        </w:tc>
      </w:tr>
    </w:tbl>
    <w:p w14:paraId="38291262" w14:textId="77777777" w:rsidR="00D565F6" w:rsidRDefault="00D565F6" w:rsidP="0030579F">
      <w:pPr>
        <w:rPr>
          <w:rFonts w:cs="Arial"/>
          <w:b/>
          <w:sz w:val="22"/>
          <w:szCs w:val="22"/>
        </w:rPr>
      </w:pPr>
    </w:p>
    <w:p w14:paraId="2C10C0DC" w14:textId="6895629E" w:rsidR="00551AC1" w:rsidRPr="005D49BA" w:rsidRDefault="0030579F" w:rsidP="00551AC1">
      <w:pPr>
        <w:rPr>
          <w:rFonts w:ascii="Calibri" w:eastAsiaTheme="minorHAnsi" w:hAnsi="Calibri" w:cs="Calibri"/>
          <w:color w:val="auto"/>
          <w:sz w:val="22"/>
          <w:szCs w:val="22"/>
        </w:rPr>
      </w:pPr>
      <w:r w:rsidRPr="001226B0">
        <w:rPr>
          <w:rFonts w:cs="Arial"/>
          <w:b/>
          <w:color w:val="auto"/>
          <w:sz w:val="22"/>
          <w:szCs w:val="22"/>
        </w:rPr>
        <w:lastRenderedPageBreak/>
        <w:t>Safety carriageway defects</w:t>
      </w:r>
      <w:r w:rsidR="00E96CF7">
        <w:rPr>
          <w:rFonts w:cs="Arial"/>
          <w:b/>
          <w:color w:val="auto"/>
          <w:sz w:val="22"/>
          <w:szCs w:val="22"/>
        </w:rPr>
        <w:t>.</w:t>
      </w:r>
      <w:r w:rsidR="0002435A">
        <w:rPr>
          <w:rFonts w:cs="Arial"/>
          <w:b/>
          <w:color w:val="auto"/>
          <w:sz w:val="22"/>
          <w:szCs w:val="22"/>
        </w:rPr>
        <w:t xml:space="preserve"> </w:t>
      </w:r>
      <w:r w:rsidR="00551AC1" w:rsidRPr="005D49BA">
        <w:rPr>
          <w:sz w:val="22"/>
          <w:szCs w:val="22"/>
        </w:rPr>
        <w:t xml:space="preserve">This winter season in Q4 has seen a much higher than usual number of multiple daily gritting runs with 5500 treatments actioned over 91 days. Last winter saw 4191 treatments over 91 days. This has resulted in reduced resources available for daytime working. Storm Christoph and heavy rainfall in February and March led to operational staff being deployed to flood incident management as part of our severe weather response. Although the resource of our supply chain </w:t>
      </w:r>
      <w:r w:rsidR="001770E6" w:rsidRPr="005D49BA">
        <w:rPr>
          <w:sz w:val="22"/>
          <w:szCs w:val="22"/>
        </w:rPr>
        <w:t>was</w:t>
      </w:r>
      <w:r w:rsidR="00551AC1" w:rsidRPr="005D49BA">
        <w:rPr>
          <w:sz w:val="22"/>
          <w:szCs w:val="22"/>
        </w:rPr>
        <w:t xml:space="preserve"> also fully utilised, the number of defects identified were too great in number</w:t>
      </w:r>
      <w:r w:rsidR="0044628C">
        <w:rPr>
          <w:sz w:val="22"/>
          <w:szCs w:val="22"/>
        </w:rPr>
        <w:t xml:space="preserve"> for the targeted proportions to be repaired in the appropriate timescale</w:t>
      </w:r>
      <w:r w:rsidR="00551AC1" w:rsidRPr="005D49BA">
        <w:rPr>
          <w:sz w:val="22"/>
          <w:szCs w:val="22"/>
        </w:rPr>
        <w:t xml:space="preserve">. </w:t>
      </w:r>
    </w:p>
    <w:p w14:paraId="4D32C238" w14:textId="74294E51" w:rsidR="00551AC1" w:rsidRPr="005D49BA" w:rsidRDefault="00551AC1" w:rsidP="00551AC1">
      <w:pPr>
        <w:rPr>
          <w:rFonts w:ascii="Calibri" w:eastAsiaTheme="minorHAnsi" w:hAnsi="Calibri" w:cs="Calibri"/>
          <w:color w:val="auto"/>
          <w:sz w:val="22"/>
          <w:szCs w:val="22"/>
        </w:rPr>
      </w:pPr>
      <w:r w:rsidRPr="005D49BA">
        <w:rPr>
          <w:sz w:val="22"/>
          <w:szCs w:val="22"/>
        </w:rPr>
        <w:t xml:space="preserve">The prolonged cold surface temperatures and flooding events through Q4 </w:t>
      </w:r>
      <w:r w:rsidR="00C56640">
        <w:rPr>
          <w:sz w:val="22"/>
          <w:szCs w:val="22"/>
        </w:rPr>
        <w:t>generated</w:t>
      </w:r>
      <w:r w:rsidRPr="005D49BA">
        <w:rPr>
          <w:sz w:val="22"/>
          <w:szCs w:val="22"/>
        </w:rPr>
        <w:t xml:space="preserve"> a significant increase in the formation of potholes. This has resulted in a large rise in defect reports in quarter 4. </w:t>
      </w:r>
    </w:p>
    <w:p w14:paraId="08331F22" w14:textId="5D2129C9" w:rsidR="005E1B76" w:rsidRDefault="0030579F" w:rsidP="001770E6">
      <w:pPr>
        <w:pStyle w:val="NoSpacing"/>
        <w:jc w:val="both"/>
        <w:rPr>
          <w:rFonts w:ascii="Arial" w:hAnsi="Arial" w:cs="Arial"/>
        </w:rPr>
      </w:pPr>
      <w:r>
        <w:rPr>
          <w:rFonts w:ascii="Arial" w:hAnsi="Arial" w:cs="Arial"/>
          <w:b/>
        </w:rPr>
        <w:t>S</w:t>
      </w:r>
      <w:r w:rsidRPr="00D26666">
        <w:rPr>
          <w:rFonts w:ascii="Arial" w:hAnsi="Arial" w:cs="Arial"/>
          <w:b/>
        </w:rPr>
        <w:t>treet lighting fault repair</w:t>
      </w:r>
      <w:r w:rsidR="00E96CF7">
        <w:rPr>
          <w:rFonts w:ascii="Arial" w:hAnsi="Arial" w:cs="Arial"/>
          <w:b/>
        </w:rPr>
        <w:t xml:space="preserve">.  </w:t>
      </w:r>
      <w:r w:rsidR="001770E6">
        <w:rPr>
          <w:rFonts w:ascii="Arial" w:hAnsi="Arial" w:cs="Arial"/>
          <w:b/>
        </w:rPr>
        <w:t xml:space="preserve"> </w:t>
      </w:r>
      <w:r w:rsidR="005E1B76" w:rsidRPr="001770E6">
        <w:rPr>
          <w:rFonts w:ascii="Arial" w:hAnsi="Arial" w:cs="Arial"/>
        </w:rPr>
        <w:t>The 2020/21 street lighting Key Performance Indicator figures show that non-traffic management fault repairs met their target</w:t>
      </w:r>
      <w:r w:rsidR="002265F0">
        <w:rPr>
          <w:rFonts w:ascii="Arial" w:hAnsi="Arial" w:cs="Arial"/>
        </w:rPr>
        <w:t>. F</w:t>
      </w:r>
      <w:r w:rsidR="005E1B76" w:rsidRPr="001770E6">
        <w:rPr>
          <w:rFonts w:ascii="Arial" w:hAnsi="Arial" w:cs="Arial"/>
        </w:rPr>
        <w:t>aults involving traffic management narrowly missed their target</w:t>
      </w:r>
      <w:r w:rsidR="00B3509A">
        <w:rPr>
          <w:rFonts w:ascii="Arial" w:hAnsi="Arial" w:cs="Arial"/>
        </w:rPr>
        <w:t>, with</w:t>
      </w:r>
      <w:r w:rsidR="005E1B76" w:rsidRPr="001770E6">
        <w:rPr>
          <w:rFonts w:ascii="Arial" w:hAnsi="Arial" w:cs="Arial"/>
        </w:rPr>
        <w:t xml:space="preserve"> just 3 faults repaired out of time prevent</w:t>
      </w:r>
      <w:r w:rsidR="00B3509A">
        <w:rPr>
          <w:rFonts w:ascii="Arial" w:hAnsi="Arial" w:cs="Arial"/>
        </w:rPr>
        <w:t>ing</w:t>
      </w:r>
      <w:r w:rsidR="005E1B76" w:rsidRPr="001770E6">
        <w:rPr>
          <w:rFonts w:ascii="Arial" w:hAnsi="Arial" w:cs="Arial"/>
        </w:rPr>
        <w:t xml:space="preserve"> </w:t>
      </w:r>
      <w:r w:rsidR="00C17673">
        <w:rPr>
          <w:rFonts w:ascii="Arial" w:hAnsi="Arial" w:cs="Arial"/>
        </w:rPr>
        <w:t xml:space="preserve">the </w:t>
      </w:r>
      <w:r w:rsidR="005E1B76" w:rsidRPr="001770E6">
        <w:rPr>
          <w:rFonts w:ascii="Arial" w:hAnsi="Arial" w:cs="Arial"/>
        </w:rPr>
        <w:t>90% target</w:t>
      </w:r>
      <w:r w:rsidR="00C17673">
        <w:rPr>
          <w:rFonts w:ascii="Arial" w:hAnsi="Arial" w:cs="Arial"/>
        </w:rPr>
        <w:t xml:space="preserve"> being achieved</w:t>
      </w:r>
    </w:p>
    <w:p w14:paraId="6745F104" w14:textId="77777777" w:rsidR="001770E6" w:rsidRPr="001770E6" w:rsidRDefault="001770E6" w:rsidP="001770E6">
      <w:pPr>
        <w:pStyle w:val="NoSpacing"/>
        <w:jc w:val="both"/>
        <w:rPr>
          <w:rFonts w:ascii="Arial" w:eastAsiaTheme="minorHAnsi" w:hAnsi="Arial" w:cs="Arial"/>
        </w:rPr>
      </w:pPr>
    </w:p>
    <w:p w14:paraId="6147C9A8" w14:textId="414B3B4E" w:rsidR="005E1B76" w:rsidRPr="005D49BA" w:rsidRDefault="005E1B76" w:rsidP="005E1B76">
      <w:pPr>
        <w:rPr>
          <w:color w:val="auto"/>
          <w:sz w:val="22"/>
          <w:szCs w:val="22"/>
        </w:rPr>
      </w:pPr>
      <w:r w:rsidRPr="005D49BA">
        <w:rPr>
          <w:color w:val="auto"/>
          <w:sz w:val="22"/>
          <w:szCs w:val="22"/>
        </w:rPr>
        <w:t xml:space="preserve">During 2020/21 </w:t>
      </w:r>
      <w:r w:rsidR="00BE6BC7">
        <w:rPr>
          <w:color w:val="auto"/>
          <w:sz w:val="22"/>
          <w:szCs w:val="22"/>
        </w:rPr>
        <w:t>with the two</w:t>
      </w:r>
      <w:r w:rsidRPr="005D49BA">
        <w:rPr>
          <w:color w:val="auto"/>
          <w:sz w:val="22"/>
          <w:szCs w:val="22"/>
        </w:rPr>
        <w:t xml:space="preserve"> </w:t>
      </w:r>
      <w:r w:rsidR="00944591">
        <w:rPr>
          <w:color w:val="auto"/>
          <w:sz w:val="22"/>
          <w:szCs w:val="22"/>
        </w:rPr>
        <w:t>n</w:t>
      </w:r>
      <w:r w:rsidRPr="005D49BA">
        <w:rPr>
          <w:color w:val="auto"/>
          <w:sz w:val="22"/>
          <w:szCs w:val="22"/>
        </w:rPr>
        <w:t xml:space="preserve">ational lockdowns plus a period of Tier 3 </w:t>
      </w:r>
      <w:r w:rsidR="005D49BA" w:rsidRPr="005D49BA">
        <w:rPr>
          <w:color w:val="auto"/>
          <w:sz w:val="22"/>
          <w:szCs w:val="22"/>
        </w:rPr>
        <w:t>restrictions,</w:t>
      </w:r>
      <w:r w:rsidRPr="005D49BA">
        <w:rPr>
          <w:color w:val="auto"/>
          <w:sz w:val="22"/>
          <w:szCs w:val="22"/>
        </w:rPr>
        <w:t xml:space="preserve"> </w:t>
      </w:r>
      <w:r w:rsidR="00BE6BC7">
        <w:rPr>
          <w:color w:val="auto"/>
          <w:sz w:val="22"/>
          <w:szCs w:val="22"/>
        </w:rPr>
        <w:t>the w</w:t>
      </w:r>
      <w:r w:rsidRPr="005D49BA">
        <w:rPr>
          <w:color w:val="auto"/>
          <w:sz w:val="22"/>
          <w:szCs w:val="22"/>
        </w:rPr>
        <w:t xml:space="preserve">orking practices </w:t>
      </w:r>
      <w:r w:rsidR="00BE6BC7">
        <w:rPr>
          <w:color w:val="auto"/>
          <w:sz w:val="22"/>
          <w:szCs w:val="22"/>
        </w:rPr>
        <w:t xml:space="preserve">have been changed </w:t>
      </w:r>
      <w:r w:rsidRPr="005D49BA">
        <w:rPr>
          <w:color w:val="auto"/>
          <w:sz w:val="22"/>
          <w:szCs w:val="22"/>
        </w:rPr>
        <w:t xml:space="preserve">several times in line with government updates.  </w:t>
      </w:r>
      <w:r w:rsidR="006E1EA7">
        <w:rPr>
          <w:color w:val="auto"/>
          <w:sz w:val="22"/>
          <w:szCs w:val="22"/>
        </w:rPr>
        <w:t>The pandemic</w:t>
      </w:r>
      <w:r w:rsidRPr="005D49BA">
        <w:rPr>
          <w:color w:val="auto"/>
          <w:sz w:val="22"/>
          <w:szCs w:val="22"/>
        </w:rPr>
        <w:t xml:space="preserve"> resulted in several members of staff having to shield and experienced frequent 2 week absences for those who were infected or had come into contact with an infected person.  Even though this was a very difficult time, both teams and managers adapted very well to the new working arrangements and were able to maintain the delivery of this service.</w:t>
      </w:r>
    </w:p>
    <w:p w14:paraId="74EEF851" w14:textId="0916F612" w:rsidR="005E1B76" w:rsidRPr="005D49BA" w:rsidRDefault="005E1B76" w:rsidP="005E1B76">
      <w:pPr>
        <w:rPr>
          <w:color w:val="auto"/>
          <w:sz w:val="22"/>
          <w:szCs w:val="22"/>
        </w:rPr>
      </w:pPr>
      <w:r w:rsidRPr="005D49BA">
        <w:rPr>
          <w:color w:val="auto"/>
          <w:sz w:val="22"/>
          <w:szCs w:val="22"/>
        </w:rPr>
        <w:t xml:space="preserve">Increased numbers of people working from home, also had an impact on site.  Due to more on-street parking than normal </w:t>
      </w:r>
      <w:r w:rsidR="00BE6BC7">
        <w:rPr>
          <w:color w:val="auto"/>
          <w:sz w:val="22"/>
          <w:szCs w:val="22"/>
        </w:rPr>
        <w:t>it</w:t>
      </w:r>
      <w:r w:rsidR="00041AB3">
        <w:rPr>
          <w:color w:val="auto"/>
          <w:sz w:val="22"/>
          <w:szCs w:val="22"/>
        </w:rPr>
        <w:t xml:space="preserve"> stopped repairs </w:t>
      </w:r>
      <w:r w:rsidR="003B1B95">
        <w:rPr>
          <w:color w:val="auto"/>
          <w:sz w:val="22"/>
          <w:szCs w:val="22"/>
        </w:rPr>
        <w:t xml:space="preserve">from being carried out </w:t>
      </w:r>
      <w:r w:rsidR="00041AB3">
        <w:rPr>
          <w:color w:val="auto"/>
          <w:sz w:val="22"/>
          <w:szCs w:val="22"/>
        </w:rPr>
        <w:t xml:space="preserve">in </w:t>
      </w:r>
      <w:r w:rsidRPr="005D49BA">
        <w:rPr>
          <w:color w:val="auto"/>
          <w:sz w:val="22"/>
          <w:szCs w:val="22"/>
        </w:rPr>
        <w:t>some streets</w:t>
      </w:r>
      <w:r w:rsidR="00041AB3">
        <w:rPr>
          <w:color w:val="auto"/>
          <w:sz w:val="22"/>
          <w:szCs w:val="22"/>
        </w:rPr>
        <w:t>.</w:t>
      </w:r>
      <w:r w:rsidRPr="005D49BA">
        <w:rPr>
          <w:color w:val="auto"/>
          <w:sz w:val="22"/>
          <w:szCs w:val="22"/>
        </w:rPr>
        <w:t xml:space="preserve">  </w:t>
      </w:r>
      <w:r w:rsidR="006E1EA7">
        <w:rPr>
          <w:color w:val="auto"/>
          <w:sz w:val="22"/>
          <w:szCs w:val="22"/>
        </w:rPr>
        <w:t>The pandemic</w:t>
      </w:r>
      <w:r w:rsidRPr="005D49BA">
        <w:rPr>
          <w:color w:val="auto"/>
          <w:sz w:val="22"/>
          <w:szCs w:val="22"/>
        </w:rPr>
        <w:t xml:space="preserve"> also impacted on traffic management sub-contractors and suppliers.</w:t>
      </w:r>
    </w:p>
    <w:p w14:paraId="1966B13B" w14:textId="77777777" w:rsidR="0030579F" w:rsidRPr="005E1B76" w:rsidRDefault="0030579F" w:rsidP="0030579F">
      <w:pPr>
        <w:pStyle w:val="NoSpacing"/>
        <w:rPr>
          <w:rFonts w:ascii="Arial" w:hAnsi="Arial" w:cs="Arial"/>
          <w:color w:val="FF000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701"/>
        <w:gridCol w:w="850"/>
        <w:gridCol w:w="1134"/>
        <w:gridCol w:w="1276"/>
        <w:gridCol w:w="1417"/>
        <w:gridCol w:w="1276"/>
        <w:gridCol w:w="1843"/>
        <w:gridCol w:w="1417"/>
      </w:tblGrid>
      <w:tr w:rsidR="005F2EB2" w:rsidRPr="00517843" w14:paraId="5A5A57B7" w14:textId="77777777" w:rsidTr="001770E6">
        <w:trPr>
          <w:trHeight w:val="474"/>
        </w:trPr>
        <w:tc>
          <w:tcPr>
            <w:tcW w:w="1843" w:type="dxa"/>
            <w:tcBorders>
              <w:top w:val="single" w:sz="4" w:space="0" w:color="auto"/>
              <w:left w:val="single" w:sz="4" w:space="0" w:color="auto"/>
              <w:bottom w:val="single" w:sz="4" w:space="0" w:color="auto"/>
              <w:right w:val="single" w:sz="4" w:space="0" w:color="auto"/>
            </w:tcBorders>
          </w:tcPr>
          <w:p w14:paraId="13A9DBCF" w14:textId="1CB87695" w:rsidR="005F2EB2" w:rsidRPr="005269D0" w:rsidRDefault="005F2EB2" w:rsidP="005F2EB2">
            <w:pPr>
              <w:pStyle w:val="NoSpacing"/>
              <w:rPr>
                <w:rFonts w:ascii="Arial" w:hAnsi="Arial" w:cs="Arial"/>
                <w:b/>
              </w:rPr>
            </w:pPr>
            <w:r w:rsidRPr="0047796E">
              <w:rPr>
                <w:rFonts w:ascii="Arial" w:hAnsi="Arial" w:cs="Arial"/>
                <w:b/>
                <w:sz w:val="20"/>
                <w:szCs w:val="20"/>
              </w:rPr>
              <w:t>Performance Indicator</w:t>
            </w:r>
          </w:p>
        </w:tc>
        <w:tc>
          <w:tcPr>
            <w:tcW w:w="1418" w:type="dxa"/>
            <w:tcBorders>
              <w:top w:val="single" w:sz="4" w:space="0" w:color="auto"/>
              <w:left w:val="single" w:sz="4" w:space="0" w:color="auto"/>
              <w:bottom w:val="single" w:sz="4" w:space="0" w:color="auto"/>
              <w:right w:val="single" w:sz="4" w:space="0" w:color="auto"/>
            </w:tcBorders>
          </w:tcPr>
          <w:p w14:paraId="76625097" w14:textId="6F674227" w:rsidR="005F2EB2" w:rsidRPr="005269D0" w:rsidRDefault="005F2EB2" w:rsidP="005F2EB2">
            <w:pPr>
              <w:pStyle w:val="NoSpacing"/>
              <w:rPr>
                <w:rFonts w:ascii="Arial" w:hAnsi="Arial" w:cs="Arial"/>
                <w:b/>
              </w:rPr>
            </w:pPr>
            <w:r w:rsidRPr="0047796E">
              <w:rPr>
                <w:rFonts w:ascii="Arial" w:hAnsi="Arial" w:cs="Arial"/>
                <w:b/>
                <w:sz w:val="20"/>
                <w:szCs w:val="20"/>
              </w:rPr>
              <w:t>Frequency</w:t>
            </w:r>
          </w:p>
        </w:tc>
        <w:tc>
          <w:tcPr>
            <w:tcW w:w="1701" w:type="dxa"/>
            <w:tcBorders>
              <w:top w:val="single" w:sz="4" w:space="0" w:color="auto"/>
              <w:left w:val="single" w:sz="4" w:space="0" w:color="auto"/>
              <w:bottom w:val="single" w:sz="4" w:space="0" w:color="auto"/>
              <w:right w:val="single" w:sz="4" w:space="0" w:color="auto"/>
            </w:tcBorders>
          </w:tcPr>
          <w:p w14:paraId="34BA9A21" w14:textId="2ABA0756" w:rsidR="005F2EB2" w:rsidRPr="005269D0" w:rsidRDefault="005F2EB2" w:rsidP="005F2EB2">
            <w:pPr>
              <w:pStyle w:val="NoSpacing"/>
              <w:rPr>
                <w:rFonts w:ascii="Arial" w:hAnsi="Arial" w:cs="Arial"/>
                <w:b/>
              </w:rPr>
            </w:pPr>
            <w:r w:rsidRPr="0047796E">
              <w:rPr>
                <w:rFonts w:ascii="Arial" w:hAnsi="Arial" w:cs="Arial"/>
                <w:b/>
                <w:sz w:val="20"/>
                <w:szCs w:val="20"/>
              </w:rPr>
              <w:t xml:space="preserve">Directorate </w:t>
            </w:r>
          </w:p>
        </w:tc>
        <w:tc>
          <w:tcPr>
            <w:tcW w:w="850" w:type="dxa"/>
            <w:tcBorders>
              <w:top w:val="single" w:sz="4" w:space="0" w:color="auto"/>
              <w:left w:val="single" w:sz="4" w:space="0" w:color="auto"/>
              <w:bottom w:val="single" w:sz="4" w:space="0" w:color="auto"/>
              <w:right w:val="single" w:sz="4" w:space="0" w:color="auto"/>
            </w:tcBorders>
          </w:tcPr>
          <w:p w14:paraId="75B7C5C4" w14:textId="5D81EF8A" w:rsidR="005F2EB2" w:rsidRPr="005269D0" w:rsidRDefault="005F2EB2" w:rsidP="005F2EB2">
            <w:pPr>
              <w:pStyle w:val="NoSpacing"/>
              <w:rPr>
                <w:rFonts w:ascii="Arial" w:hAnsi="Arial" w:cs="Arial"/>
                <w:b/>
              </w:rPr>
            </w:pPr>
            <w:r w:rsidRPr="0047796E">
              <w:rPr>
                <w:rFonts w:ascii="Arial" w:hAnsi="Arial" w:cs="Arial"/>
                <w:b/>
                <w:sz w:val="20"/>
                <w:szCs w:val="20"/>
              </w:rPr>
              <w:t>Good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91F4BC" w14:textId="1A353062" w:rsidR="005F2EB2" w:rsidRPr="005269D0" w:rsidRDefault="005F2EB2" w:rsidP="005F2EB2">
            <w:pPr>
              <w:pStyle w:val="NoSpacing"/>
              <w:rPr>
                <w:rFonts w:ascii="Arial" w:hAnsi="Arial" w:cs="Arial"/>
                <w:b/>
              </w:rPr>
            </w:pPr>
            <w:r w:rsidRPr="00300F36">
              <w:rPr>
                <w:rFonts w:ascii="Arial" w:hAnsi="Arial" w:cs="Arial"/>
                <w:b/>
                <w:sz w:val="20"/>
                <w:szCs w:val="20"/>
              </w:rPr>
              <w:t>2019/20 Outturn</w:t>
            </w:r>
          </w:p>
        </w:tc>
        <w:tc>
          <w:tcPr>
            <w:tcW w:w="1276" w:type="dxa"/>
            <w:tcBorders>
              <w:top w:val="single" w:sz="4" w:space="0" w:color="auto"/>
              <w:left w:val="single" w:sz="4" w:space="0" w:color="auto"/>
              <w:bottom w:val="single" w:sz="4" w:space="0" w:color="auto"/>
              <w:right w:val="single" w:sz="4" w:space="0" w:color="auto"/>
            </w:tcBorders>
          </w:tcPr>
          <w:p w14:paraId="6BCFC1E3" w14:textId="2C2CA058" w:rsidR="005F2EB2" w:rsidRPr="005269D0" w:rsidRDefault="005F2EB2" w:rsidP="005F2EB2">
            <w:pPr>
              <w:pStyle w:val="NoSpacing"/>
              <w:rPr>
                <w:rFonts w:ascii="Arial" w:hAnsi="Arial" w:cs="Arial"/>
                <w:b/>
              </w:rPr>
            </w:pPr>
            <w:r w:rsidRPr="0047796E">
              <w:rPr>
                <w:rFonts w:ascii="Arial" w:hAnsi="Arial" w:cs="Arial"/>
                <w:b/>
                <w:sz w:val="20"/>
                <w:szCs w:val="20"/>
              </w:rPr>
              <w:t xml:space="preserve">2020/21 Quarter 1 </w:t>
            </w:r>
            <w:r w:rsidRPr="00300F36">
              <w:rPr>
                <w:rFonts w:ascii="Arial" w:hAnsi="Arial" w:cs="Arial"/>
                <w:b/>
                <w:sz w:val="18"/>
                <w:szCs w:val="18"/>
              </w:rPr>
              <w:t>(April –June)</w:t>
            </w:r>
          </w:p>
        </w:tc>
        <w:tc>
          <w:tcPr>
            <w:tcW w:w="1417" w:type="dxa"/>
            <w:tcBorders>
              <w:top w:val="single" w:sz="4" w:space="0" w:color="auto"/>
              <w:left w:val="single" w:sz="4" w:space="0" w:color="auto"/>
              <w:bottom w:val="single" w:sz="4" w:space="0" w:color="auto"/>
              <w:right w:val="single" w:sz="4" w:space="0" w:color="auto"/>
            </w:tcBorders>
          </w:tcPr>
          <w:p w14:paraId="7ABF4243" w14:textId="15E973D4" w:rsidR="005F2EB2" w:rsidRPr="005269D0" w:rsidRDefault="005F2EB2" w:rsidP="005F2EB2">
            <w:pPr>
              <w:pStyle w:val="NoSpacing"/>
              <w:rPr>
                <w:rFonts w:ascii="Arial" w:hAnsi="Arial" w:cs="Arial"/>
                <w:b/>
              </w:rPr>
            </w:pPr>
            <w:r w:rsidRPr="0047796E">
              <w:rPr>
                <w:rFonts w:ascii="Arial" w:hAnsi="Arial" w:cs="Arial"/>
                <w:b/>
                <w:sz w:val="20"/>
                <w:szCs w:val="20"/>
              </w:rPr>
              <w:t xml:space="preserve">Quarter 2 </w:t>
            </w:r>
            <w:r w:rsidRPr="00300F36">
              <w:rPr>
                <w:rFonts w:ascii="Arial" w:hAnsi="Arial" w:cs="Arial"/>
                <w:b/>
                <w:sz w:val="18"/>
                <w:szCs w:val="18"/>
              </w:rPr>
              <w:t>(July –September)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81E76B" w14:textId="54486551" w:rsidR="005F2EB2" w:rsidRPr="005269D0" w:rsidRDefault="005F2EB2" w:rsidP="005F2EB2">
            <w:pPr>
              <w:pStyle w:val="NoSpacing"/>
              <w:rPr>
                <w:rFonts w:ascii="Arial" w:hAnsi="Arial" w:cs="Arial"/>
                <w:b/>
              </w:rPr>
            </w:pPr>
            <w:r w:rsidRPr="0047796E">
              <w:rPr>
                <w:rFonts w:ascii="Arial" w:hAnsi="Arial" w:cs="Arial"/>
                <w:b/>
                <w:sz w:val="20"/>
                <w:szCs w:val="20"/>
              </w:rPr>
              <w:t xml:space="preserve">Quarter 3 </w:t>
            </w:r>
            <w:r w:rsidRPr="00300F36">
              <w:rPr>
                <w:rFonts w:ascii="Arial" w:hAnsi="Arial" w:cs="Arial"/>
                <w:b/>
                <w:sz w:val="18"/>
                <w:szCs w:val="18"/>
              </w:rPr>
              <w:t>(October - December)</w:t>
            </w:r>
          </w:p>
        </w:tc>
        <w:tc>
          <w:tcPr>
            <w:tcW w:w="1843" w:type="dxa"/>
            <w:tcBorders>
              <w:top w:val="single" w:sz="4" w:space="0" w:color="auto"/>
              <w:left w:val="single" w:sz="4" w:space="0" w:color="auto"/>
              <w:bottom w:val="single" w:sz="4" w:space="0" w:color="auto"/>
              <w:right w:val="single" w:sz="4" w:space="0" w:color="auto"/>
            </w:tcBorders>
          </w:tcPr>
          <w:p w14:paraId="65E036C9" w14:textId="2DDE4536" w:rsidR="005F2EB2" w:rsidRPr="005269D0" w:rsidRDefault="005F2EB2" w:rsidP="005F2EB2">
            <w:pPr>
              <w:pStyle w:val="NoSpacing"/>
              <w:rPr>
                <w:rFonts w:ascii="Arial" w:hAnsi="Arial" w:cs="Arial"/>
                <w:b/>
              </w:rPr>
            </w:pPr>
            <w:r w:rsidRPr="0047796E">
              <w:rPr>
                <w:rFonts w:ascii="Arial" w:hAnsi="Arial" w:cs="Arial"/>
                <w:b/>
                <w:sz w:val="20"/>
                <w:szCs w:val="20"/>
              </w:rPr>
              <w:t xml:space="preserve">Quarter 4 </w:t>
            </w:r>
            <w:r w:rsidRPr="00300F36">
              <w:rPr>
                <w:rFonts w:ascii="Arial" w:hAnsi="Arial" w:cs="Arial"/>
                <w:b/>
                <w:sz w:val="18"/>
                <w:szCs w:val="18"/>
              </w:rPr>
              <w:t>(January - March)</w:t>
            </w:r>
          </w:p>
        </w:tc>
        <w:tc>
          <w:tcPr>
            <w:tcW w:w="1417" w:type="dxa"/>
            <w:tcBorders>
              <w:top w:val="single" w:sz="4" w:space="0" w:color="auto"/>
              <w:left w:val="single" w:sz="4" w:space="0" w:color="auto"/>
              <w:bottom w:val="single" w:sz="4" w:space="0" w:color="auto"/>
              <w:right w:val="single" w:sz="4" w:space="0" w:color="auto"/>
            </w:tcBorders>
          </w:tcPr>
          <w:p w14:paraId="5F97B728" w14:textId="60E93105" w:rsidR="005F2EB2" w:rsidRPr="005269D0" w:rsidRDefault="005F2EB2" w:rsidP="005F2EB2">
            <w:pPr>
              <w:pStyle w:val="NoSpacing"/>
              <w:rPr>
                <w:rFonts w:ascii="Arial" w:hAnsi="Arial" w:cs="Arial"/>
                <w:b/>
              </w:rPr>
            </w:pPr>
            <w:r w:rsidRPr="0047796E">
              <w:rPr>
                <w:rFonts w:ascii="Arial" w:hAnsi="Arial" w:cs="Arial"/>
                <w:b/>
                <w:sz w:val="20"/>
                <w:szCs w:val="20"/>
              </w:rPr>
              <w:t>2020/21 Target</w:t>
            </w:r>
          </w:p>
        </w:tc>
      </w:tr>
      <w:tr w:rsidR="000507C1" w:rsidRPr="00517843" w14:paraId="6BCA5D09" w14:textId="77777777" w:rsidTr="00BE6BC7">
        <w:trPr>
          <w:trHeight w:val="296"/>
        </w:trPr>
        <w:tc>
          <w:tcPr>
            <w:tcW w:w="1843" w:type="dxa"/>
            <w:tcBorders>
              <w:top w:val="single" w:sz="4" w:space="0" w:color="auto"/>
              <w:left w:val="single" w:sz="4" w:space="0" w:color="auto"/>
              <w:bottom w:val="single" w:sz="4" w:space="0" w:color="auto"/>
              <w:right w:val="single" w:sz="4" w:space="0" w:color="auto"/>
            </w:tcBorders>
            <w:hideMark/>
          </w:tcPr>
          <w:p w14:paraId="56E3EDAE" w14:textId="4A08FAA9" w:rsidR="000507C1" w:rsidRPr="005269D0" w:rsidRDefault="000507C1" w:rsidP="005669BE">
            <w:pPr>
              <w:pStyle w:val="NoSpacing"/>
              <w:jc w:val="both"/>
              <w:rPr>
                <w:rFonts w:ascii="Arial" w:hAnsi="Arial" w:cs="Arial"/>
              </w:rPr>
            </w:pPr>
            <w:bookmarkStart w:id="0" w:name="_Hlk73689391"/>
            <w:r w:rsidRPr="005269D0">
              <w:rPr>
                <w:rFonts w:ascii="Arial" w:hAnsi="Arial" w:cs="Arial"/>
              </w:rPr>
              <w:t>Percentage of recycling, reuse and composted</w:t>
            </w:r>
            <w:bookmarkEnd w:id="0"/>
          </w:p>
        </w:tc>
        <w:tc>
          <w:tcPr>
            <w:tcW w:w="1418" w:type="dxa"/>
            <w:tcBorders>
              <w:top w:val="single" w:sz="4" w:space="0" w:color="auto"/>
              <w:left w:val="single" w:sz="4" w:space="0" w:color="auto"/>
              <w:bottom w:val="single" w:sz="4" w:space="0" w:color="auto"/>
              <w:right w:val="single" w:sz="4" w:space="0" w:color="auto"/>
            </w:tcBorders>
            <w:hideMark/>
          </w:tcPr>
          <w:p w14:paraId="01222320" w14:textId="77777777" w:rsidR="000507C1" w:rsidRPr="005269D0" w:rsidRDefault="000507C1" w:rsidP="0030579F">
            <w:pPr>
              <w:pStyle w:val="NoSpacing"/>
              <w:rPr>
                <w:rFonts w:ascii="Arial" w:hAnsi="Arial" w:cs="Arial"/>
              </w:rPr>
            </w:pPr>
          </w:p>
          <w:p w14:paraId="15AA4038" w14:textId="77777777" w:rsidR="000507C1" w:rsidRPr="005269D0" w:rsidRDefault="000507C1" w:rsidP="0030579F">
            <w:pPr>
              <w:pStyle w:val="NoSpacing"/>
              <w:rPr>
                <w:rFonts w:ascii="Arial" w:hAnsi="Arial" w:cs="Arial"/>
                <w:i/>
              </w:rPr>
            </w:pPr>
            <w:r w:rsidRPr="005269D0">
              <w:rPr>
                <w:rFonts w:ascii="Arial" w:hAnsi="Arial" w:cs="Arial"/>
              </w:rPr>
              <w:t>Quarterly</w:t>
            </w:r>
          </w:p>
        </w:tc>
        <w:tc>
          <w:tcPr>
            <w:tcW w:w="1701" w:type="dxa"/>
            <w:tcBorders>
              <w:top w:val="single" w:sz="4" w:space="0" w:color="auto"/>
              <w:left w:val="single" w:sz="4" w:space="0" w:color="auto"/>
              <w:bottom w:val="single" w:sz="4" w:space="0" w:color="auto"/>
              <w:right w:val="single" w:sz="4" w:space="0" w:color="auto"/>
            </w:tcBorders>
          </w:tcPr>
          <w:p w14:paraId="3F6E63A9" w14:textId="77777777" w:rsidR="000507C1" w:rsidRPr="005269D0" w:rsidRDefault="000507C1" w:rsidP="0030579F">
            <w:pPr>
              <w:pStyle w:val="NoSpacing"/>
              <w:rPr>
                <w:rFonts w:ascii="Arial" w:hAnsi="Arial" w:cs="Arial"/>
              </w:rPr>
            </w:pPr>
            <w:r w:rsidRPr="005269D0">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14:paraId="08F21C08" w14:textId="77777777" w:rsidR="000507C1" w:rsidRPr="005269D0" w:rsidRDefault="000507C1" w:rsidP="0030579F">
            <w:pPr>
              <w:pStyle w:val="NoSpacing"/>
              <w:rPr>
                <w:rFonts w:ascii="Arial" w:hAnsi="Arial" w:cs="Arial"/>
              </w:rPr>
            </w:pPr>
          </w:p>
          <w:p w14:paraId="4B2A2198" w14:textId="77777777" w:rsidR="000507C1" w:rsidRPr="005269D0" w:rsidRDefault="000507C1" w:rsidP="0030579F">
            <w:pPr>
              <w:pStyle w:val="NoSpacing"/>
              <w:rPr>
                <w:rFonts w:ascii="Arial" w:hAnsi="Arial" w:cs="Arial"/>
              </w:rPr>
            </w:pPr>
            <w:r w:rsidRPr="005269D0">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634D9F" w14:textId="77777777" w:rsidR="000507C1" w:rsidRPr="005269D0" w:rsidRDefault="000507C1" w:rsidP="0030579F">
            <w:pPr>
              <w:pStyle w:val="NoSpacing"/>
              <w:jc w:val="center"/>
              <w:rPr>
                <w:rFonts w:ascii="Arial" w:hAnsi="Arial" w:cs="Arial"/>
              </w:rPr>
            </w:pPr>
            <w:r w:rsidRPr="005269D0">
              <w:rPr>
                <w:rFonts w:ascii="Arial" w:hAnsi="Arial" w:cs="Arial"/>
              </w:rPr>
              <w:t>45%</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A5C0AE" w14:textId="77777777" w:rsidR="000507C1" w:rsidRPr="005269D0" w:rsidRDefault="000507C1" w:rsidP="0030579F">
            <w:pPr>
              <w:pStyle w:val="NoSpacing"/>
              <w:jc w:val="center"/>
              <w:rPr>
                <w:rFonts w:ascii="Arial" w:hAnsi="Arial" w:cs="Arial"/>
              </w:rPr>
            </w:pPr>
            <w:r w:rsidRPr="005269D0">
              <w:rPr>
                <w:rFonts w:ascii="Arial" w:hAnsi="Arial" w:cs="Arial"/>
              </w:rPr>
              <w:t>42%</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DD86AF" w14:textId="77777777" w:rsidR="000507C1" w:rsidRPr="005269D0" w:rsidRDefault="000507C1" w:rsidP="0030579F">
            <w:pPr>
              <w:pStyle w:val="NoSpacing"/>
              <w:jc w:val="center"/>
              <w:rPr>
                <w:rFonts w:ascii="Arial" w:hAnsi="Arial" w:cs="Arial"/>
              </w:rPr>
            </w:pPr>
            <w:r w:rsidRPr="005269D0">
              <w:rPr>
                <w:rFonts w:ascii="Arial" w:hAnsi="Arial" w:cs="Arial"/>
              </w:rPr>
              <w:t>43%</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284DF9D" w14:textId="77777777" w:rsidR="000507C1" w:rsidRPr="005269D0" w:rsidRDefault="000507C1" w:rsidP="0030579F">
            <w:pPr>
              <w:pStyle w:val="NoSpacing"/>
              <w:jc w:val="center"/>
              <w:rPr>
                <w:rFonts w:ascii="Arial" w:hAnsi="Arial" w:cs="Arial"/>
              </w:rPr>
            </w:pPr>
            <w:r w:rsidRPr="005269D0">
              <w:rPr>
                <w:rFonts w:ascii="Arial" w:hAnsi="Arial" w:cs="Arial"/>
              </w:rPr>
              <w:t>42%</w:t>
            </w:r>
          </w:p>
        </w:tc>
        <w:tc>
          <w:tcPr>
            <w:tcW w:w="1843" w:type="dxa"/>
            <w:tcBorders>
              <w:top w:val="single" w:sz="4" w:space="0" w:color="auto"/>
              <w:left w:val="single" w:sz="4" w:space="0" w:color="auto"/>
              <w:bottom w:val="single" w:sz="4" w:space="0" w:color="auto"/>
              <w:right w:val="single" w:sz="4" w:space="0" w:color="auto"/>
            </w:tcBorders>
            <w:shd w:val="clear" w:color="auto" w:fill="F7CAAC"/>
          </w:tcPr>
          <w:p w14:paraId="2DA13822" w14:textId="48A79393" w:rsidR="000507C1" w:rsidRPr="005269D0" w:rsidRDefault="005D49BA" w:rsidP="0030579F">
            <w:pPr>
              <w:pStyle w:val="NoSpacing"/>
              <w:rPr>
                <w:rFonts w:ascii="Arial" w:hAnsi="Arial" w:cs="Arial"/>
              </w:rPr>
            </w:pPr>
            <w:r>
              <w:rPr>
                <w:rFonts w:ascii="Arial" w:hAnsi="Arial" w:cs="Arial"/>
              </w:rPr>
              <w:t>45%</w:t>
            </w:r>
          </w:p>
        </w:tc>
        <w:tc>
          <w:tcPr>
            <w:tcW w:w="1417" w:type="dxa"/>
            <w:tcBorders>
              <w:top w:val="single" w:sz="4" w:space="0" w:color="auto"/>
              <w:left w:val="single" w:sz="4" w:space="0" w:color="auto"/>
              <w:bottom w:val="single" w:sz="4" w:space="0" w:color="auto"/>
              <w:right w:val="single" w:sz="4" w:space="0" w:color="auto"/>
            </w:tcBorders>
          </w:tcPr>
          <w:p w14:paraId="5E833D0F" w14:textId="65A2B25B" w:rsidR="000507C1" w:rsidRPr="005269D0" w:rsidRDefault="000507C1" w:rsidP="00122FB0">
            <w:pPr>
              <w:pStyle w:val="NoSpacing"/>
              <w:jc w:val="center"/>
              <w:rPr>
                <w:rFonts w:ascii="Arial" w:hAnsi="Arial" w:cs="Arial"/>
              </w:rPr>
            </w:pPr>
            <w:r w:rsidRPr="005269D0">
              <w:rPr>
                <w:rFonts w:ascii="Arial" w:hAnsi="Arial" w:cs="Arial"/>
              </w:rPr>
              <w:t>50% (current national target)</w:t>
            </w:r>
          </w:p>
        </w:tc>
      </w:tr>
    </w:tbl>
    <w:p w14:paraId="79FAE604" w14:textId="77777777" w:rsidR="0030579F" w:rsidRDefault="0030579F" w:rsidP="0030579F">
      <w:pPr>
        <w:pStyle w:val="NoSpacing"/>
        <w:jc w:val="both"/>
        <w:rPr>
          <w:rFonts w:ascii="Arial" w:hAnsi="Arial" w:cs="Arial"/>
          <w:b/>
        </w:rPr>
      </w:pPr>
    </w:p>
    <w:p w14:paraId="2FD953FF" w14:textId="1577D098" w:rsidR="00C03186" w:rsidRDefault="00DC0C3A" w:rsidP="001770E6">
      <w:pPr>
        <w:pStyle w:val="NoSpacing"/>
        <w:jc w:val="both"/>
        <w:rPr>
          <w:rFonts w:ascii="Arial" w:hAnsi="Arial" w:cs="Arial"/>
          <w:color w:val="000000" w:themeColor="text1"/>
        </w:rPr>
      </w:pPr>
      <w:r>
        <w:rPr>
          <w:rFonts w:ascii="Arial" w:hAnsi="Arial" w:cs="Arial"/>
          <w:b/>
        </w:rPr>
        <w:t>Recycling</w:t>
      </w:r>
      <w:r w:rsidR="00E96CF7">
        <w:rPr>
          <w:rFonts w:ascii="Arial" w:hAnsi="Arial" w:cs="Arial"/>
          <w:b/>
        </w:rPr>
        <w:t xml:space="preserve">.  </w:t>
      </w:r>
      <w:r w:rsidR="005D49BA" w:rsidRPr="001770E6">
        <w:rPr>
          <w:rFonts w:ascii="Arial" w:hAnsi="Arial" w:cs="Arial"/>
          <w:color w:val="000000" w:themeColor="text1"/>
        </w:rPr>
        <w:t xml:space="preserve">The recycling rate for </w:t>
      </w:r>
      <w:r w:rsidR="00944591">
        <w:rPr>
          <w:rFonts w:ascii="Arial" w:hAnsi="Arial" w:cs="Arial"/>
          <w:color w:val="000000" w:themeColor="text1"/>
        </w:rPr>
        <w:t>20</w:t>
      </w:r>
      <w:r w:rsidR="005D49BA" w:rsidRPr="001770E6">
        <w:rPr>
          <w:rFonts w:ascii="Arial" w:hAnsi="Arial" w:cs="Arial"/>
          <w:color w:val="000000" w:themeColor="text1"/>
        </w:rPr>
        <w:t>20/21 is comparable to last year</w:t>
      </w:r>
      <w:r w:rsidR="00FF67D4">
        <w:rPr>
          <w:rFonts w:ascii="Arial" w:hAnsi="Arial" w:cs="Arial"/>
          <w:color w:val="000000" w:themeColor="text1"/>
        </w:rPr>
        <w:t>'</w:t>
      </w:r>
      <w:r w:rsidR="005D49BA" w:rsidRPr="001770E6">
        <w:rPr>
          <w:rFonts w:ascii="Arial" w:hAnsi="Arial" w:cs="Arial"/>
          <w:color w:val="000000" w:themeColor="text1"/>
        </w:rPr>
        <w:t xml:space="preserve">s out-turn considering the impacts </w:t>
      </w:r>
      <w:r w:rsidR="006E1EA7">
        <w:rPr>
          <w:rFonts w:ascii="Arial" w:hAnsi="Arial" w:cs="Arial"/>
          <w:color w:val="000000" w:themeColor="text1"/>
        </w:rPr>
        <w:t>the pandemic</w:t>
      </w:r>
      <w:r w:rsidR="005D49BA" w:rsidRPr="001770E6">
        <w:rPr>
          <w:rFonts w:ascii="Arial" w:hAnsi="Arial" w:cs="Arial"/>
          <w:color w:val="000000" w:themeColor="text1"/>
        </w:rPr>
        <w:t xml:space="preserve"> has had on the service. Doorstep collected recycling and composting continued to increase by as much as fifteen percent but has been matched by similar increases in non-recyclable waste. Since re-opening the Household Waste Recycling Centres on a phased approach along with limiting residents to one waste stream </w:t>
      </w:r>
      <w:r w:rsidR="0047453A">
        <w:rPr>
          <w:rFonts w:ascii="Arial" w:hAnsi="Arial" w:cs="Arial"/>
          <w:color w:val="000000" w:themeColor="text1"/>
        </w:rPr>
        <w:t xml:space="preserve">there have been </w:t>
      </w:r>
      <w:r w:rsidR="005D49BA" w:rsidRPr="001770E6">
        <w:rPr>
          <w:rFonts w:ascii="Arial" w:hAnsi="Arial" w:cs="Arial"/>
          <w:color w:val="000000" w:themeColor="text1"/>
        </w:rPr>
        <w:t>further reductions in tonnages at the facilities</w:t>
      </w:r>
      <w:r w:rsidR="00766C94">
        <w:rPr>
          <w:rFonts w:ascii="Arial" w:hAnsi="Arial" w:cs="Arial"/>
          <w:color w:val="000000" w:themeColor="text1"/>
        </w:rPr>
        <w:t>.</w:t>
      </w:r>
      <w:r w:rsidR="00CE1096">
        <w:rPr>
          <w:rFonts w:ascii="Arial" w:hAnsi="Arial" w:cs="Arial"/>
          <w:color w:val="000000" w:themeColor="text1"/>
        </w:rPr>
        <w:t xml:space="preserve"> </w:t>
      </w:r>
      <w:r w:rsidR="00766C94">
        <w:rPr>
          <w:rFonts w:ascii="Arial" w:hAnsi="Arial" w:cs="Arial"/>
          <w:color w:val="000000" w:themeColor="text1"/>
        </w:rPr>
        <w:t>This,</w:t>
      </w:r>
      <w:r w:rsidR="005D49BA" w:rsidRPr="001770E6">
        <w:rPr>
          <w:rFonts w:ascii="Arial" w:hAnsi="Arial" w:cs="Arial"/>
          <w:color w:val="000000" w:themeColor="text1"/>
        </w:rPr>
        <w:t xml:space="preserve"> along with less business waste being collected, in part due to the increase in homeworking</w:t>
      </w:r>
      <w:r w:rsidR="00944591">
        <w:rPr>
          <w:rFonts w:ascii="Arial" w:hAnsi="Arial" w:cs="Arial"/>
          <w:color w:val="000000" w:themeColor="text1"/>
        </w:rPr>
        <w:t>,</w:t>
      </w:r>
      <w:r w:rsidR="005D49BA" w:rsidRPr="001770E6">
        <w:rPr>
          <w:rFonts w:ascii="Arial" w:hAnsi="Arial" w:cs="Arial"/>
          <w:color w:val="000000" w:themeColor="text1"/>
        </w:rPr>
        <w:t xml:space="preserve"> does help explain some of the doorstep collected waste increases.</w:t>
      </w:r>
      <w:r w:rsidR="00C03186">
        <w:rPr>
          <w:rFonts w:ascii="Arial" w:hAnsi="Arial" w:cs="Arial"/>
          <w:color w:val="000000" w:themeColor="text1"/>
        </w:rPr>
        <w:t xml:space="preserve"> Trade waste is down by 15% on 2019/20 out-turn.</w:t>
      </w:r>
    </w:p>
    <w:tbl>
      <w:tblPr>
        <w:tblpPr w:leftFromText="180" w:rightFromText="180" w:vertAnchor="text" w:horzAnchor="margin" w:tblpY="83"/>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417"/>
        <w:gridCol w:w="851"/>
        <w:gridCol w:w="1276"/>
        <w:gridCol w:w="1275"/>
        <w:gridCol w:w="1276"/>
        <w:gridCol w:w="1418"/>
        <w:gridCol w:w="1701"/>
        <w:gridCol w:w="1134"/>
      </w:tblGrid>
      <w:tr w:rsidR="00931587" w:rsidRPr="0087783B" w14:paraId="20B27159" w14:textId="77777777" w:rsidTr="00BE6BC7">
        <w:trPr>
          <w:trHeight w:val="252"/>
        </w:trPr>
        <w:tc>
          <w:tcPr>
            <w:tcW w:w="2263" w:type="dxa"/>
            <w:tcBorders>
              <w:top w:val="single" w:sz="4" w:space="0" w:color="auto"/>
              <w:left w:val="single" w:sz="4" w:space="0" w:color="auto"/>
              <w:bottom w:val="single" w:sz="4" w:space="0" w:color="auto"/>
              <w:right w:val="single" w:sz="4" w:space="0" w:color="auto"/>
            </w:tcBorders>
            <w:hideMark/>
          </w:tcPr>
          <w:p w14:paraId="7DE56F5C" w14:textId="77777777" w:rsidR="00931587" w:rsidRPr="00CF5FAC" w:rsidRDefault="00931587" w:rsidP="00BE6BC7">
            <w:pPr>
              <w:pStyle w:val="NoSpacing"/>
              <w:rPr>
                <w:rFonts w:ascii="Arial" w:hAnsi="Arial" w:cs="Arial"/>
                <w:b/>
              </w:rPr>
            </w:pPr>
            <w:r w:rsidRPr="00CF5FAC">
              <w:rPr>
                <w:rFonts w:ascii="Arial" w:hAnsi="Arial" w:cs="Arial"/>
                <w:b/>
              </w:rPr>
              <w:lastRenderedPageBreak/>
              <w:t>Performance Indicator</w:t>
            </w:r>
          </w:p>
        </w:tc>
        <w:tc>
          <w:tcPr>
            <w:tcW w:w="1985" w:type="dxa"/>
            <w:tcBorders>
              <w:top w:val="single" w:sz="4" w:space="0" w:color="auto"/>
              <w:left w:val="single" w:sz="4" w:space="0" w:color="auto"/>
              <w:bottom w:val="single" w:sz="4" w:space="0" w:color="auto"/>
              <w:right w:val="single" w:sz="4" w:space="0" w:color="auto"/>
            </w:tcBorders>
            <w:hideMark/>
          </w:tcPr>
          <w:p w14:paraId="65EE06E5" w14:textId="77777777" w:rsidR="00931587" w:rsidRPr="00CF5FAC" w:rsidRDefault="00931587" w:rsidP="00BE6BC7">
            <w:pPr>
              <w:pStyle w:val="NoSpacing"/>
              <w:rPr>
                <w:rFonts w:ascii="Arial" w:hAnsi="Arial" w:cs="Arial"/>
                <w:b/>
              </w:rPr>
            </w:pPr>
            <w:r w:rsidRPr="00CF5FAC">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14:paraId="778B5D60" w14:textId="77777777" w:rsidR="00931587" w:rsidRPr="00CF5FAC" w:rsidRDefault="00931587" w:rsidP="00BE6BC7">
            <w:pPr>
              <w:pStyle w:val="NoSpacing"/>
              <w:rPr>
                <w:rFonts w:ascii="Arial" w:hAnsi="Arial" w:cs="Arial"/>
                <w:b/>
              </w:rPr>
            </w:pPr>
            <w:r w:rsidRPr="00CF5FAC">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14:paraId="388A1214" w14:textId="77777777" w:rsidR="00931587" w:rsidRPr="00CF5FAC" w:rsidRDefault="00931587" w:rsidP="00BE6BC7">
            <w:pPr>
              <w:pStyle w:val="NoSpacing"/>
              <w:rPr>
                <w:rFonts w:ascii="Arial" w:hAnsi="Arial" w:cs="Arial"/>
                <w:b/>
              </w:rPr>
            </w:pPr>
            <w:r w:rsidRPr="00CF5FAC">
              <w:rPr>
                <w:rFonts w:ascii="Arial" w:hAnsi="Arial" w:cs="Arial"/>
                <w:b/>
              </w:rPr>
              <w:t>Good is</w:t>
            </w:r>
          </w:p>
        </w:tc>
        <w:tc>
          <w:tcPr>
            <w:tcW w:w="1276" w:type="dxa"/>
            <w:tcBorders>
              <w:top w:val="single" w:sz="4" w:space="0" w:color="auto"/>
              <w:left w:val="single" w:sz="4" w:space="0" w:color="auto"/>
              <w:bottom w:val="single" w:sz="4" w:space="0" w:color="auto"/>
              <w:right w:val="single" w:sz="4" w:space="0" w:color="auto"/>
            </w:tcBorders>
          </w:tcPr>
          <w:p w14:paraId="23E459D1" w14:textId="77777777" w:rsidR="00931587" w:rsidRPr="00CF5FAC" w:rsidRDefault="00931587" w:rsidP="00BE6BC7">
            <w:pPr>
              <w:pStyle w:val="NoSpacing"/>
              <w:rPr>
                <w:rFonts w:ascii="Arial" w:hAnsi="Arial" w:cs="Arial"/>
                <w:b/>
              </w:rPr>
            </w:pPr>
            <w:r w:rsidRPr="00CF5FAC">
              <w:rPr>
                <w:rFonts w:ascii="Arial" w:hAnsi="Arial" w:cs="Arial"/>
                <w:b/>
              </w:rPr>
              <w:t>2019/20 Outturn</w:t>
            </w:r>
          </w:p>
        </w:tc>
        <w:tc>
          <w:tcPr>
            <w:tcW w:w="1275" w:type="dxa"/>
            <w:tcBorders>
              <w:top w:val="single" w:sz="4" w:space="0" w:color="auto"/>
              <w:left w:val="single" w:sz="4" w:space="0" w:color="auto"/>
              <w:bottom w:val="single" w:sz="4" w:space="0" w:color="auto"/>
              <w:right w:val="single" w:sz="4" w:space="0" w:color="auto"/>
            </w:tcBorders>
          </w:tcPr>
          <w:p w14:paraId="0A566485" w14:textId="77777777" w:rsidR="00931587" w:rsidRPr="00CF5FAC" w:rsidRDefault="00931587" w:rsidP="00BE6BC7">
            <w:pPr>
              <w:pStyle w:val="NoSpacing"/>
              <w:rPr>
                <w:rFonts w:ascii="Arial" w:hAnsi="Arial" w:cs="Arial"/>
                <w:b/>
              </w:rPr>
            </w:pPr>
            <w:r w:rsidRPr="00CF5FAC">
              <w:rPr>
                <w:rFonts w:ascii="Arial" w:hAnsi="Arial" w:cs="Arial"/>
                <w:b/>
              </w:rPr>
              <w:t xml:space="preserve">2020/21 Quarter 1 </w:t>
            </w:r>
            <w:r w:rsidRPr="00CF5FAC">
              <w:rPr>
                <w:rFonts w:ascii="Arial" w:hAnsi="Arial" w:cs="Arial"/>
                <w:b/>
                <w:sz w:val="18"/>
              </w:rPr>
              <w:t>(April –June)</w:t>
            </w:r>
          </w:p>
        </w:tc>
        <w:tc>
          <w:tcPr>
            <w:tcW w:w="1276" w:type="dxa"/>
            <w:tcBorders>
              <w:top w:val="single" w:sz="4" w:space="0" w:color="auto"/>
              <w:left w:val="single" w:sz="4" w:space="0" w:color="auto"/>
              <w:bottom w:val="single" w:sz="4" w:space="0" w:color="auto"/>
              <w:right w:val="single" w:sz="4" w:space="0" w:color="auto"/>
            </w:tcBorders>
          </w:tcPr>
          <w:p w14:paraId="2F5B01A2" w14:textId="09B74D08" w:rsidR="00931587" w:rsidRPr="00CF5FAC" w:rsidRDefault="00931587" w:rsidP="00BE6BC7">
            <w:pPr>
              <w:pStyle w:val="NoSpacing"/>
              <w:rPr>
                <w:rFonts w:ascii="Arial" w:hAnsi="Arial" w:cs="Arial"/>
                <w:b/>
              </w:rPr>
            </w:pPr>
            <w:r w:rsidRPr="00CF5FAC">
              <w:rPr>
                <w:rFonts w:ascii="Arial" w:hAnsi="Arial" w:cs="Arial"/>
                <w:b/>
              </w:rPr>
              <w:t xml:space="preserve">Quarter 2 </w:t>
            </w:r>
            <w:r w:rsidRPr="00CF5FAC">
              <w:rPr>
                <w:rFonts w:ascii="Arial" w:hAnsi="Arial" w:cs="Arial"/>
                <w:b/>
                <w:sz w:val="18"/>
              </w:rPr>
              <w:t>(July –September)</w:t>
            </w:r>
          </w:p>
        </w:tc>
        <w:tc>
          <w:tcPr>
            <w:tcW w:w="1418" w:type="dxa"/>
            <w:tcBorders>
              <w:top w:val="single" w:sz="4" w:space="0" w:color="auto"/>
              <w:left w:val="single" w:sz="4" w:space="0" w:color="auto"/>
              <w:bottom w:val="single" w:sz="4" w:space="0" w:color="auto"/>
              <w:right w:val="single" w:sz="4" w:space="0" w:color="auto"/>
            </w:tcBorders>
          </w:tcPr>
          <w:p w14:paraId="515A69FC" w14:textId="77777777" w:rsidR="00931587" w:rsidRPr="00CF5FAC" w:rsidRDefault="00931587" w:rsidP="00BE6BC7">
            <w:pPr>
              <w:pStyle w:val="NoSpacing"/>
              <w:rPr>
                <w:rFonts w:ascii="Arial" w:hAnsi="Arial" w:cs="Arial"/>
                <w:b/>
              </w:rPr>
            </w:pPr>
            <w:r w:rsidRPr="00CF5FAC">
              <w:rPr>
                <w:rFonts w:ascii="Arial" w:hAnsi="Arial" w:cs="Arial"/>
                <w:b/>
              </w:rPr>
              <w:t xml:space="preserve">Quarter 3 </w:t>
            </w:r>
            <w:r w:rsidRPr="00CF5FAC">
              <w:rPr>
                <w:rFonts w:ascii="Arial" w:hAnsi="Arial" w:cs="Arial"/>
                <w:b/>
                <w:sz w:val="18"/>
              </w:rPr>
              <w:t>(October - December)</w:t>
            </w:r>
          </w:p>
        </w:tc>
        <w:tc>
          <w:tcPr>
            <w:tcW w:w="1701" w:type="dxa"/>
            <w:tcBorders>
              <w:top w:val="single" w:sz="4" w:space="0" w:color="auto"/>
              <w:left w:val="single" w:sz="4" w:space="0" w:color="auto"/>
              <w:bottom w:val="single" w:sz="4" w:space="0" w:color="auto"/>
              <w:right w:val="single" w:sz="4" w:space="0" w:color="auto"/>
            </w:tcBorders>
          </w:tcPr>
          <w:p w14:paraId="76652099" w14:textId="77777777" w:rsidR="00931587" w:rsidRPr="00CF5FAC" w:rsidRDefault="00931587" w:rsidP="00BE6BC7">
            <w:pPr>
              <w:pStyle w:val="NoSpacing"/>
              <w:rPr>
                <w:rFonts w:ascii="Arial" w:hAnsi="Arial" w:cs="Arial"/>
                <w:b/>
              </w:rPr>
            </w:pPr>
            <w:r w:rsidRPr="00CF5FAC">
              <w:rPr>
                <w:rFonts w:ascii="Arial" w:hAnsi="Arial" w:cs="Arial"/>
                <w:b/>
              </w:rPr>
              <w:t>Quarter 4</w:t>
            </w:r>
          </w:p>
          <w:p w14:paraId="20A092BB" w14:textId="77777777" w:rsidR="00931587" w:rsidRPr="00CF5FAC" w:rsidRDefault="00931587" w:rsidP="00BE6BC7">
            <w:pPr>
              <w:pStyle w:val="NoSpacing"/>
              <w:rPr>
                <w:rFonts w:ascii="Arial" w:hAnsi="Arial" w:cs="Arial"/>
                <w:b/>
              </w:rPr>
            </w:pPr>
            <w:r w:rsidRPr="00CF5FAC">
              <w:rPr>
                <w:rFonts w:ascii="Arial" w:hAnsi="Arial" w:cs="Arial"/>
                <w:bCs/>
              </w:rPr>
              <w:t>(January – March)</w:t>
            </w:r>
            <w:r w:rsidRPr="00CF5FAC">
              <w:rPr>
                <w:rFonts w:ascii="Arial" w:hAnsi="Arial" w:cs="Arial"/>
                <w:b/>
              </w:rPr>
              <w:t xml:space="preserve"> </w:t>
            </w:r>
          </w:p>
        </w:tc>
        <w:tc>
          <w:tcPr>
            <w:tcW w:w="1134" w:type="dxa"/>
            <w:tcBorders>
              <w:top w:val="single" w:sz="4" w:space="0" w:color="auto"/>
              <w:left w:val="single" w:sz="4" w:space="0" w:color="auto"/>
              <w:bottom w:val="single" w:sz="4" w:space="0" w:color="auto"/>
              <w:right w:val="single" w:sz="4" w:space="0" w:color="auto"/>
            </w:tcBorders>
          </w:tcPr>
          <w:p w14:paraId="4B29E13B" w14:textId="77777777" w:rsidR="00931587" w:rsidRPr="00CF5FAC" w:rsidRDefault="00931587" w:rsidP="00BE6BC7">
            <w:pPr>
              <w:pStyle w:val="NoSpacing"/>
              <w:rPr>
                <w:rFonts w:ascii="Arial" w:hAnsi="Arial" w:cs="Arial"/>
                <w:b/>
              </w:rPr>
            </w:pPr>
            <w:r w:rsidRPr="00CF5FAC">
              <w:rPr>
                <w:rFonts w:ascii="Arial" w:hAnsi="Arial" w:cs="Arial"/>
                <w:b/>
              </w:rPr>
              <w:t>2020/21 Target</w:t>
            </w:r>
          </w:p>
        </w:tc>
      </w:tr>
      <w:tr w:rsidR="00931587" w:rsidRPr="0087783B" w14:paraId="6406BC84" w14:textId="77777777" w:rsidTr="003A1640">
        <w:trPr>
          <w:trHeight w:val="381"/>
        </w:trPr>
        <w:tc>
          <w:tcPr>
            <w:tcW w:w="2263" w:type="dxa"/>
            <w:tcBorders>
              <w:top w:val="single" w:sz="4" w:space="0" w:color="auto"/>
              <w:left w:val="single" w:sz="4" w:space="0" w:color="auto"/>
              <w:bottom w:val="single" w:sz="4" w:space="0" w:color="auto"/>
              <w:right w:val="single" w:sz="4" w:space="0" w:color="auto"/>
            </w:tcBorders>
            <w:hideMark/>
          </w:tcPr>
          <w:p w14:paraId="78B31FCC" w14:textId="77777777" w:rsidR="00931587" w:rsidRPr="00CF5FAC" w:rsidRDefault="00931587" w:rsidP="00BE6BC7">
            <w:pPr>
              <w:pStyle w:val="NoSpacing"/>
              <w:rPr>
                <w:rFonts w:ascii="Arial" w:hAnsi="Arial" w:cs="Arial"/>
              </w:rPr>
            </w:pPr>
            <w:r w:rsidRPr="00CF5FAC">
              <w:rPr>
                <w:rFonts w:ascii="Arial" w:hAnsi="Arial" w:cs="Arial"/>
              </w:rPr>
              <w:t>Percentage of children and young people who received targeted early help support from Children and Families Wellbeing service which successfully met their identified needs</w:t>
            </w:r>
          </w:p>
        </w:tc>
        <w:tc>
          <w:tcPr>
            <w:tcW w:w="1985" w:type="dxa"/>
            <w:tcBorders>
              <w:top w:val="single" w:sz="4" w:space="0" w:color="auto"/>
              <w:left w:val="single" w:sz="4" w:space="0" w:color="auto"/>
              <w:bottom w:val="single" w:sz="4" w:space="0" w:color="auto"/>
              <w:right w:val="single" w:sz="4" w:space="0" w:color="auto"/>
            </w:tcBorders>
            <w:hideMark/>
          </w:tcPr>
          <w:p w14:paraId="0AD7C55B" w14:textId="77777777" w:rsidR="00931587" w:rsidRPr="00CF5FAC" w:rsidRDefault="00931587" w:rsidP="00BE6BC7">
            <w:pPr>
              <w:pStyle w:val="NoSpacing"/>
              <w:rPr>
                <w:rFonts w:ascii="Arial" w:hAnsi="Arial" w:cs="Arial"/>
                <w:i/>
              </w:rPr>
            </w:pPr>
            <w:r w:rsidRPr="00CF5FAC">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14:paraId="12BAEB6F" w14:textId="77777777" w:rsidR="00931587" w:rsidRPr="00CF5FAC" w:rsidRDefault="00931587" w:rsidP="00BE6BC7">
            <w:pPr>
              <w:pStyle w:val="NoSpacing"/>
              <w:rPr>
                <w:rFonts w:ascii="Arial" w:hAnsi="Arial" w:cs="Arial"/>
              </w:rPr>
            </w:pPr>
            <w:r w:rsidRPr="00CF5FAC">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14:paraId="27E6BDB8" w14:textId="77777777" w:rsidR="00931587" w:rsidRPr="00CF5FAC" w:rsidRDefault="00931587" w:rsidP="00BE6BC7">
            <w:pPr>
              <w:pStyle w:val="NoSpacing"/>
              <w:rPr>
                <w:rFonts w:ascii="Arial" w:hAnsi="Arial" w:cs="Arial"/>
              </w:rPr>
            </w:pPr>
            <w:r w:rsidRPr="00CF5FA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08FEC1" w14:textId="77777777" w:rsidR="00931587" w:rsidRPr="00CF5FAC" w:rsidRDefault="00931587" w:rsidP="00BE6BC7">
            <w:pPr>
              <w:pStyle w:val="NoSpacing"/>
              <w:rPr>
                <w:rFonts w:ascii="Arial" w:hAnsi="Arial" w:cs="Arial"/>
              </w:rPr>
            </w:pPr>
            <w:r w:rsidRPr="00CF5FAC">
              <w:rPr>
                <w:rFonts w:ascii="Arial" w:hAnsi="Arial" w:cs="Arial"/>
              </w:rPr>
              <w:t>65.5%</w:t>
            </w:r>
            <w:r w:rsidRPr="00CF5FAC">
              <w:rPr>
                <w:rFonts w:ascii="Arial" w:hAnsi="Arial" w:cs="Arial"/>
              </w:rPr>
              <w:br/>
              <w:t>(2019/20)</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EBD031" w14:textId="77777777" w:rsidR="00207665" w:rsidRDefault="00207665" w:rsidP="00207665">
            <w:pPr>
              <w:pStyle w:val="NoSpacing"/>
              <w:rPr>
                <w:rFonts w:ascii="Arial" w:hAnsi="Arial" w:cs="Arial"/>
              </w:rPr>
            </w:pPr>
            <w:r>
              <w:rPr>
                <w:rFonts w:ascii="Arial" w:hAnsi="Arial" w:cs="Arial"/>
              </w:rPr>
              <w:t xml:space="preserve">60% </w:t>
            </w:r>
          </w:p>
          <w:p w14:paraId="262213D2" w14:textId="11B400EE" w:rsidR="00207665" w:rsidRPr="00CF5FAC" w:rsidRDefault="00207665" w:rsidP="00207665">
            <w:pPr>
              <w:pStyle w:val="NoSpacing"/>
              <w:rPr>
                <w:rFonts w:ascii="Arial" w:hAnsi="Arial" w:cs="Arial"/>
              </w:rPr>
            </w:pPr>
            <w:r>
              <w:rPr>
                <w:rFonts w:ascii="Arial" w:hAnsi="Arial" w:cs="Arial"/>
              </w:rPr>
              <w:t>(3</w:t>
            </w:r>
            <w:r w:rsidR="00695B4E">
              <w:rPr>
                <w:rFonts w:ascii="Arial" w:hAnsi="Arial" w:cs="Arial"/>
              </w:rPr>
              <w:t>-</w:t>
            </w:r>
            <w:r>
              <w:rPr>
                <w:rFonts w:ascii="Arial" w:hAnsi="Arial" w:cs="Arial"/>
              </w:rPr>
              <w:t>month average)</w:t>
            </w:r>
          </w:p>
          <w:p w14:paraId="045F33BD" w14:textId="24301D42" w:rsidR="00931587" w:rsidRPr="00CF5FAC" w:rsidRDefault="00931587" w:rsidP="00BE6BC7">
            <w:pPr>
              <w:pStyle w:val="No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BE5818" w14:textId="77777777" w:rsidR="00207665" w:rsidRPr="00CF5FAC" w:rsidRDefault="00207665" w:rsidP="00207665">
            <w:pPr>
              <w:pStyle w:val="NoSpacing"/>
              <w:rPr>
                <w:rFonts w:ascii="Arial" w:hAnsi="Arial" w:cs="Arial"/>
              </w:rPr>
            </w:pPr>
            <w:r w:rsidRPr="00CF5FAC">
              <w:rPr>
                <w:rFonts w:ascii="Arial" w:hAnsi="Arial" w:cs="Arial"/>
              </w:rPr>
              <w:t xml:space="preserve">61% </w:t>
            </w:r>
          </w:p>
          <w:p w14:paraId="5296FCA8" w14:textId="732C9A22" w:rsidR="00931587" w:rsidRPr="00CF5FAC" w:rsidRDefault="00207665" w:rsidP="00207665">
            <w:pPr>
              <w:pStyle w:val="NoSpacing"/>
              <w:rPr>
                <w:rFonts w:ascii="Arial" w:hAnsi="Arial" w:cs="Arial"/>
              </w:rPr>
            </w:pPr>
            <w:r w:rsidRPr="00CF5FAC">
              <w:rPr>
                <w:rFonts w:ascii="Arial" w:hAnsi="Arial" w:cs="Arial"/>
              </w:rPr>
              <w:t>(3</w:t>
            </w:r>
            <w:r w:rsidR="00695B4E">
              <w:rPr>
                <w:rFonts w:ascii="Arial" w:hAnsi="Arial" w:cs="Arial"/>
              </w:rPr>
              <w:t>-</w:t>
            </w:r>
            <w:r w:rsidRPr="00CF5FAC">
              <w:rPr>
                <w:rFonts w:ascii="Arial" w:hAnsi="Arial" w:cs="Arial"/>
              </w:rPr>
              <w:t>month average)</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52DAA9" w14:textId="4ED5A63C" w:rsidR="00207665" w:rsidRPr="00CF5FAC" w:rsidRDefault="00207665" w:rsidP="00207665">
            <w:pPr>
              <w:pStyle w:val="NoSpacing"/>
              <w:rPr>
                <w:rFonts w:ascii="Arial" w:hAnsi="Arial" w:cs="Arial"/>
              </w:rPr>
            </w:pPr>
            <w:r w:rsidRPr="00CF5FAC">
              <w:rPr>
                <w:rFonts w:ascii="Arial" w:hAnsi="Arial" w:cs="Arial"/>
              </w:rPr>
              <w:t>68%</w:t>
            </w:r>
          </w:p>
          <w:p w14:paraId="7171A712" w14:textId="309B4A08" w:rsidR="00931587" w:rsidRPr="00CF5FAC" w:rsidRDefault="00207665" w:rsidP="00207665">
            <w:pPr>
              <w:pStyle w:val="NoSpacing"/>
              <w:rPr>
                <w:rFonts w:ascii="Arial" w:hAnsi="Arial" w:cs="Arial"/>
              </w:rPr>
            </w:pPr>
            <w:r w:rsidRPr="00CF5FAC">
              <w:rPr>
                <w:rFonts w:ascii="Arial" w:hAnsi="Arial" w:cs="Arial"/>
              </w:rPr>
              <w:t>(3-month average)</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BE0C46" w14:textId="77777777" w:rsidR="00FC1D04" w:rsidRPr="00CF5FAC" w:rsidRDefault="00FC1D04" w:rsidP="00FC1D04">
            <w:pPr>
              <w:pStyle w:val="NoSpacing"/>
              <w:rPr>
                <w:rFonts w:ascii="Arial" w:hAnsi="Arial" w:cs="Arial"/>
              </w:rPr>
            </w:pPr>
            <w:r w:rsidRPr="00CF5FAC">
              <w:rPr>
                <w:rFonts w:ascii="Arial" w:hAnsi="Arial" w:cs="Arial"/>
              </w:rPr>
              <w:t>Q4 67%</w:t>
            </w:r>
          </w:p>
          <w:p w14:paraId="2FB6AF6A" w14:textId="784F0AB6" w:rsidR="00FC1D04" w:rsidRDefault="00FC1D04" w:rsidP="00BE6BC7">
            <w:pPr>
              <w:pStyle w:val="NoSpacing"/>
              <w:rPr>
                <w:rFonts w:ascii="Arial" w:hAnsi="Arial" w:cs="Arial"/>
              </w:rPr>
            </w:pPr>
            <w:r w:rsidRPr="00CF5FAC">
              <w:rPr>
                <w:rFonts w:ascii="Arial" w:hAnsi="Arial" w:cs="Arial"/>
              </w:rPr>
              <w:t>(3-month average)</w:t>
            </w:r>
          </w:p>
          <w:p w14:paraId="672AD81F" w14:textId="77777777" w:rsidR="00207665" w:rsidRDefault="00207665" w:rsidP="00BE6BC7">
            <w:pPr>
              <w:pStyle w:val="NoSpacing"/>
              <w:rPr>
                <w:rFonts w:ascii="Arial" w:hAnsi="Arial" w:cs="Arial"/>
              </w:rPr>
            </w:pPr>
          </w:p>
          <w:p w14:paraId="53D9617F" w14:textId="0B5AEB8C" w:rsidR="00931587" w:rsidRPr="00CF5FAC" w:rsidRDefault="00931587" w:rsidP="00BE6BC7">
            <w:pPr>
              <w:pStyle w:val="No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57E2964" w14:textId="77777777" w:rsidR="00931587" w:rsidRPr="00CF5FAC" w:rsidRDefault="00931587" w:rsidP="00122FB0">
            <w:pPr>
              <w:pStyle w:val="NoSpacing"/>
              <w:jc w:val="center"/>
              <w:rPr>
                <w:rFonts w:ascii="Arial" w:hAnsi="Arial" w:cs="Arial"/>
              </w:rPr>
            </w:pPr>
            <w:r w:rsidRPr="00CF5FAC">
              <w:rPr>
                <w:rFonts w:ascii="Arial" w:hAnsi="Arial" w:cs="Arial"/>
              </w:rPr>
              <w:t>66%</w:t>
            </w:r>
          </w:p>
        </w:tc>
      </w:tr>
      <w:tr w:rsidR="00931587" w:rsidRPr="0087783B" w14:paraId="34389586" w14:textId="77777777" w:rsidTr="00BE6BC7">
        <w:trPr>
          <w:trHeight w:val="190"/>
        </w:trPr>
        <w:tc>
          <w:tcPr>
            <w:tcW w:w="2263" w:type="dxa"/>
            <w:tcBorders>
              <w:top w:val="single" w:sz="4" w:space="0" w:color="auto"/>
              <w:left w:val="single" w:sz="4" w:space="0" w:color="auto"/>
              <w:bottom w:val="single" w:sz="4" w:space="0" w:color="auto"/>
              <w:right w:val="single" w:sz="4" w:space="0" w:color="auto"/>
            </w:tcBorders>
            <w:hideMark/>
          </w:tcPr>
          <w:p w14:paraId="717AEFF6" w14:textId="77777777" w:rsidR="00931587" w:rsidRPr="0087783B" w:rsidRDefault="00931587" w:rsidP="00BE6BC7">
            <w:pPr>
              <w:pStyle w:val="NoSpacing"/>
              <w:rPr>
                <w:rFonts w:ascii="Arial" w:hAnsi="Arial" w:cs="Arial"/>
              </w:rPr>
            </w:pPr>
            <w:r w:rsidRPr="0087783B">
              <w:rPr>
                <w:rFonts w:ascii="Arial" w:hAnsi="Arial" w:cs="Arial"/>
              </w:rPr>
              <w:t>Percentage of children looked after who are actually living in Lancashire</w:t>
            </w:r>
          </w:p>
          <w:p w14:paraId="1454B2AC" w14:textId="77777777" w:rsidR="00931587" w:rsidRPr="0087783B" w:rsidRDefault="00931587" w:rsidP="00BE6BC7">
            <w:pPr>
              <w:pStyle w:val="NoSpacing"/>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10571F2B" w14:textId="77777777" w:rsidR="00931587" w:rsidRPr="0087783B" w:rsidRDefault="00931587" w:rsidP="00BE6BC7">
            <w:pPr>
              <w:pStyle w:val="NoSpacing"/>
              <w:rPr>
                <w:rFonts w:ascii="Arial" w:hAnsi="Arial" w:cs="Arial"/>
              </w:rPr>
            </w:pPr>
            <w:r w:rsidRPr="0087783B">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14:paraId="79536E50" w14:textId="77777777" w:rsidR="00931587" w:rsidRPr="0087783B" w:rsidRDefault="00931587" w:rsidP="00BE6BC7">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14:paraId="10BBEE06" w14:textId="77777777" w:rsidR="00931587" w:rsidRPr="0087783B" w:rsidRDefault="00931587" w:rsidP="00BE6BC7">
            <w:pPr>
              <w:pStyle w:val="NoSpacing"/>
              <w:rPr>
                <w:rFonts w:ascii="Arial" w:hAnsi="Arial" w:cs="Arial"/>
              </w:rPr>
            </w:pPr>
            <w:r w:rsidRPr="0087783B">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A71281" w14:textId="77777777" w:rsidR="00931587" w:rsidRPr="0087783B" w:rsidRDefault="00931587" w:rsidP="00BE6BC7">
            <w:pPr>
              <w:pStyle w:val="NoSpacing"/>
              <w:rPr>
                <w:rFonts w:ascii="Arial" w:hAnsi="Arial" w:cs="Arial"/>
              </w:rPr>
            </w:pPr>
            <w:r>
              <w:rPr>
                <w:rFonts w:ascii="Arial" w:hAnsi="Arial" w:cs="Arial"/>
              </w:rPr>
              <w:t>80.9</w:t>
            </w:r>
            <w:r w:rsidRPr="0087783B">
              <w:rPr>
                <w:rFonts w:ascii="Arial" w:hAnsi="Arial" w:cs="Arial"/>
              </w:rPr>
              <w:t xml:space="preserve">% </w:t>
            </w:r>
            <w:r w:rsidRPr="0087783B">
              <w:rPr>
                <w:rFonts w:ascii="Arial" w:hAnsi="Arial" w:cs="Arial"/>
              </w:rPr>
              <w:br/>
              <w:t>Mar 20</w:t>
            </w:r>
            <w:r>
              <w:rPr>
                <w:rFonts w:ascii="Arial" w:hAnsi="Arial" w:cs="Arial"/>
              </w:rPr>
              <w:t>20</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7DACC9" w14:textId="77777777" w:rsidR="00931587" w:rsidRPr="0087783B" w:rsidRDefault="00931587" w:rsidP="00BE6BC7">
            <w:pPr>
              <w:pStyle w:val="NoSpacing"/>
              <w:rPr>
                <w:rFonts w:ascii="Arial" w:hAnsi="Arial" w:cs="Arial"/>
              </w:rPr>
            </w:pPr>
            <w:r>
              <w:rPr>
                <w:rFonts w:ascii="Arial" w:hAnsi="Arial" w:cs="Arial"/>
              </w:rPr>
              <w:t>80.1</w:t>
            </w:r>
            <w:r w:rsidRPr="0087783B">
              <w:rPr>
                <w:rFonts w:ascii="Arial" w:hAnsi="Arial" w:cs="Arial"/>
              </w:rPr>
              <w:t xml:space="preserve">% </w:t>
            </w:r>
            <w:r w:rsidRPr="0087783B">
              <w:rPr>
                <w:rFonts w:ascii="Arial" w:hAnsi="Arial" w:cs="Arial"/>
              </w:rPr>
              <w:br/>
            </w:r>
            <w:r>
              <w:rPr>
                <w:rFonts w:ascii="Arial" w:hAnsi="Arial" w:cs="Arial"/>
              </w:rPr>
              <w:t xml:space="preserve">June </w:t>
            </w:r>
            <w:r w:rsidRPr="0087783B">
              <w:rPr>
                <w:rFonts w:ascii="Arial" w:hAnsi="Arial" w:cs="Arial"/>
              </w:rPr>
              <w:t>20</w:t>
            </w:r>
            <w:r>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5A97A0" w14:textId="77777777" w:rsidR="00931587" w:rsidRPr="0087783B" w:rsidRDefault="00931587" w:rsidP="00BE6BC7">
            <w:pPr>
              <w:pStyle w:val="NoSpacing"/>
              <w:rPr>
                <w:rFonts w:ascii="Arial" w:hAnsi="Arial" w:cs="Arial"/>
              </w:rPr>
            </w:pPr>
            <w:r>
              <w:rPr>
                <w:rFonts w:ascii="Arial" w:hAnsi="Arial" w:cs="Arial"/>
              </w:rPr>
              <w:t>81.6</w:t>
            </w:r>
            <w:r w:rsidRPr="0087783B">
              <w:rPr>
                <w:rFonts w:ascii="Arial" w:hAnsi="Arial" w:cs="Arial"/>
              </w:rPr>
              <w:t xml:space="preserve">% </w:t>
            </w:r>
            <w:r w:rsidRPr="0087783B">
              <w:rPr>
                <w:rFonts w:ascii="Arial" w:hAnsi="Arial" w:cs="Arial"/>
              </w:rPr>
              <w:br/>
            </w:r>
            <w:r>
              <w:rPr>
                <w:rFonts w:ascii="Arial" w:hAnsi="Arial" w:cs="Arial"/>
              </w:rPr>
              <w:t>Sept</w:t>
            </w:r>
            <w:r w:rsidRPr="0087783B">
              <w:rPr>
                <w:rFonts w:ascii="Arial" w:hAnsi="Arial" w:cs="Arial"/>
              </w:rPr>
              <w:t xml:space="preserve"> 20</w:t>
            </w:r>
            <w:r>
              <w:rPr>
                <w:rFonts w:ascii="Arial" w:hAnsi="Arial" w:cs="Arial"/>
              </w:rPr>
              <w:t>20</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77B197" w14:textId="77777777" w:rsidR="00931587" w:rsidRDefault="00931587" w:rsidP="00BE6BC7">
            <w:pPr>
              <w:pStyle w:val="NoSpacing"/>
              <w:rPr>
                <w:rFonts w:ascii="Arial" w:hAnsi="Arial" w:cs="Arial"/>
              </w:rPr>
            </w:pPr>
            <w:r>
              <w:rPr>
                <w:rFonts w:ascii="Arial" w:hAnsi="Arial" w:cs="Arial"/>
              </w:rPr>
              <w:t>80.5</w:t>
            </w:r>
            <w:r w:rsidRPr="0087783B">
              <w:rPr>
                <w:rFonts w:ascii="Arial" w:hAnsi="Arial" w:cs="Arial"/>
              </w:rPr>
              <w:t xml:space="preserve">% </w:t>
            </w:r>
            <w:r w:rsidRPr="0087783B">
              <w:rPr>
                <w:rFonts w:ascii="Arial" w:hAnsi="Arial" w:cs="Arial"/>
              </w:rPr>
              <w:br/>
            </w:r>
            <w:r>
              <w:rPr>
                <w:rFonts w:ascii="Arial" w:hAnsi="Arial" w:cs="Arial"/>
              </w:rPr>
              <w:t xml:space="preserve">Dec </w:t>
            </w:r>
            <w:r w:rsidRPr="0087783B">
              <w:rPr>
                <w:rFonts w:ascii="Arial" w:hAnsi="Arial" w:cs="Arial"/>
              </w:rPr>
              <w:t>20</w:t>
            </w:r>
            <w:r>
              <w:rPr>
                <w:rFonts w:ascii="Arial" w:hAnsi="Arial" w:cs="Arial"/>
              </w:rPr>
              <w:t>20</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E4A6E0" w14:textId="77777777" w:rsidR="00931587" w:rsidRPr="0087783B" w:rsidRDefault="00931587" w:rsidP="00BE6BC7">
            <w:pPr>
              <w:pStyle w:val="NoSpacing"/>
              <w:rPr>
                <w:rFonts w:ascii="Arial" w:hAnsi="Arial" w:cs="Arial"/>
              </w:rPr>
            </w:pPr>
            <w:r>
              <w:rPr>
                <w:rFonts w:ascii="Arial" w:hAnsi="Arial" w:cs="Arial"/>
              </w:rPr>
              <w:t>80.0%</w:t>
            </w:r>
            <w:r>
              <w:rPr>
                <w:rFonts w:ascii="Arial" w:hAnsi="Arial" w:cs="Arial"/>
              </w:rPr>
              <w:br/>
              <w:t>March 21</w:t>
            </w:r>
          </w:p>
        </w:tc>
        <w:tc>
          <w:tcPr>
            <w:tcW w:w="1134" w:type="dxa"/>
            <w:tcBorders>
              <w:top w:val="single" w:sz="4" w:space="0" w:color="auto"/>
              <w:left w:val="single" w:sz="4" w:space="0" w:color="auto"/>
              <w:bottom w:val="single" w:sz="4" w:space="0" w:color="auto"/>
              <w:right w:val="single" w:sz="4" w:space="0" w:color="auto"/>
            </w:tcBorders>
          </w:tcPr>
          <w:p w14:paraId="36E2C1FB" w14:textId="77777777" w:rsidR="00931587" w:rsidRPr="0087783B" w:rsidRDefault="00931587" w:rsidP="00122FB0">
            <w:pPr>
              <w:pStyle w:val="NoSpacing"/>
              <w:jc w:val="center"/>
              <w:rPr>
                <w:rFonts w:ascii="Arial" w:hAnsi="Arial" w:cs="Arial"/>
              </w:rPr>
            </w:pPr>
            <w:r w:rsidRPr="0087783B">
              <w:rPr>
                <w:rFonts w:ascii="Arial" w:hAnsi="Arial" w:cs="Arial"/>
              </w:rPr>
              <w:t>80%</w:t>
            </w:r>
          </w:p>
        </w:tc>
      </w:tr>
    </w:tbl>
    <w:p w14:paraId="79CCF943" w14:textId="77777777" w:rsidR="00931587" w:rsidRPr="0087783B" w:rsidRDefault="00931587" w:rsidP="00931587">
      <w:pPr>
        <w:pStyle w:val="NoSpacing"/>
        <w:rPr>
          <w:rFonts w:ascii="Arial" w:hAnsi="Arial" w:cs="Arial"/>
        </w:rPr>
      </w:pPr>
    </w:p>
    <w:p w14:paraId="47837966" w14:textId="43D89F6A" w:rsidR="00931587" w:rsidRPr="005B6167" w:rsidRDefault="00931587" w:rsidP="00931587">
      <w:pPr>
        <w:rPr>
          <w:rFonts w:ascii="Calibri" w:eastAsiaTheme="minorHAnsi" w:hAnsi="Calibri" w:cs="Calibri"/>
          <w:color w:val="auto"/>
          <w:sz w:val="22"/>
          <w:szCs w:val="22"/>
        </w:rPr>
      </w:pPr>
      <w:r w:rsidRPr="00E74C75">
        <w:rPr>
          <w:rFonts w:cs="Arial"/>
          <w:b/>
          <w:sz w:val="22"/>
          <w:szCs w:val="22"/>
        </w:rPr>
        <w:t>Children and Families Wellbeing Service</w:t>
      </w:r>
      <w:r w:rsidRPr="0087783B">
        <w:rPr>
          <w:rFonts w:cs="Arial"/>
        </w:rPr>
        <w:t>.</w:t>
      </w:r>
      <w:r w:rsidR="005B6167" w:rsidRPr="005B6167">
        <w:t xml:space="preserve"> </w:t>
      </w:r>
      <w:r w:rsidR="005B6167" w:rsidRPr="005B6167">
        <w:rPr>
          <w:sz w:val="22"/>
          <w:szCs w:val="22"/>
        </w:rPr>
        <w:t xml:space="preserve">The service has constantly adapted delivery to meet the needs of families with </w:t>
      </w:r>
      <w:r w:rsidR="005B6167">
        <w:rPr>
          <w:sz w:val="22"/>
          <w:szCs w:val="22"/>
        </w:rPr>
        <w:t>r</w:t>
      </w:r>
      <w:r w:rsidR="005B6167" w:rsidRPr="005B6167">
        <w:rPr>
          <w:sz w:val="22"/>
          <w:szCs w:val="22"/>
        </w:rPr>
        <w:t xml:space="preserve">eference to government guidance and has continued its use of wide-ranging virtual service delivery coupled with an increasing face-to-face support offer where necessary. </w:t>
      </w:r>
      <w:r w:rsidR="00695B4E">
        <w:rPr>
          <w:sz w:val="22"/>
          <w:szCs w:val="22"/>
        </w:rPr>
        <w:t xml:space="preserve"> This increase in face-to-face support enabled positive outcomes for families who were better suited to this way of working.  There was a</w:t>
      </w:r>
      <w:r w:rsidR="00F50B4A">
        <w:rPr>
          <w:sz w:val="22"/>
          <w:szCs w:val="22"/>
        </w:rPr>
        <w:t>lso a</w:t>
      </w:r>
      <w:r w:rsidR="00695B4E">
        <w:rPr>
          <w:sz w:val="22"/>
          <w:szCs w:val="22"/>
        </w:rPr>
        <w:t xml:space="preserve"> reduction in families withdrawing and disengaging with support</w:t>
      </w:r>
      <w:r w:rsidR="00F50B4A">
        <w:rPr>
          <w:sz w:val="22"/>
          <w:szCs w:val="22"/>
        </w:rPr>
        <w:t xml:space="preserve"> during the quarter, and the trend of fewer cases being referred to social care continued.</w:t>
      </w:r>
    </w:p>
    <w:p w14:paraId="19D513DA" w14:textId="77777777" w:rsidR="00931587" w:rsidRPr="005B6167" w:rsidRDefault="00931587" w:rsidP="00931587">
      <w:pPr>
        <w:pStyle w:val="NoSpacing"/>
        <w:jc w:val="both"/>
        <w:rPr>
          <w:rFonts w:ascii="Arial" w:hAnsi="Arial" w:cs="Arial"/>
        </w:rPr>
      </w:pPr>
    </w:p>
    <w:p w14:paraId="4F20428D" w14:textId="68686CC3" w:rsidR="005B6167" w:rsidRDefault="00931587" w:rsidP="005B6167">
      <w:pPr>
        <w:rPr>
          <w:rFonts w:ascii="Calibri" w:eastAsiaTheme="minorHAnsi" w:hAnsi="Calibri" w:cs="Calibri"/>
          <w:color w:val="FF0000"/>
          <w:sz w:val="22"/>
          <w:szCs w:val="22"/>
        </w:rPr>
      </w:pPr>
      <w:r w:rsidRPr="004E7DD6">
        <w:rPr>
          <w:rFonts w:cs="Arial"/>
          <w:b/>
          <w:sz w:val="22"/>
          <w:szCs w:val="22"/>
        </w:rPr>
        <w:t>Looked after children actually living in Lancashire.</w:t>
      </w:r>
      <w:r w:rsidRPr="004E7DD6">
        <w:rPr>
          <w:rFonts w:cs="Arial"/>
          <w:sz w:val="22"/>
          <w:szCs w:val="22"/>
        </w:rPr>
        <w:t xml:space="preserve"> </w:t>
      </w:r>
      <w:r w:rsidR="005B6167" w:rsidRPr="005B6167">
        <w:rPr>
          <w:color w:val="auto"/>
          <w:sz w:val="22"/>
          <w:szCs w:val="22"/>
        </w:rPr>
        <w:t>Social Care teams, including fostering and residential teams have worked with commissioning colleagues and with independent  fostering and residential providers to ensure children and young people have the opportunity to remain within their communities</w:t>
      </w:r>
      <w:r w:rsidR="00F50B4A">
        <w:rPr>
          <w:color w:val="auto"/>
          <w:sz w:val="22"/>
          <w:szCs w:val="22"/>
        </w:rPr>
        <w:t>, where possible,</w:t>
      </w:r>
      <w:r w:rsidR="005B6167" w:rsidRPr="005B6167">
        <w:rPr>
          <w:color w:val="auto"/>
          <w:sz w:val="22"/>
          <w:szCs w:val="22"/>
        </w:rPr>
        <w:t xml:space="preserve"> enabling them to continue to access their educational establishments and be close to family and friends where it is safe to do so.</w:t>
      </w:r>
    </w:p>
    <w:p w14:paraId="4440DD92" w14:textId="23A60B3E" w:rsidR="004E7DD6" w:rsidRPr="004E7DD6" w:rsidRDefault="004E7DD6" w:rsidP="004E7DD6">
      <w:pPr>
        <w:rPr>
          <w:rFonts w:ascii="Calibri" w:eastAsiaTheme="minorHAnsi" w:hAnsi="Calibri" w:cs="Calibri"/>
          <w:color w:val="auto"/>
          <w:sz w:val="22"/>
          <w:szCs w:val="22"/>
        </w:rPr>
      </w:pPr>
    </w:p>
    <w:p w14:paraId="0B9AB47E" w14:textId="11BB2A12" w:rsidR="00931587" w:rsidRDefault="00CE1096" w:rsidP="00931587">
      <w:pPr>
        <w:pStyle w:val="NoSpacing"/>
        <w:jc w:val="both"/>
        <w:rPr>
          <w:rFonts w:ascii="Arial" w:hAnsi="Arial" w:cs="Arial"/>
        </w:rPr>
      </w:pPr>
      <w:r>
        <w:rPr>
          <w:rFonts w:ascii="Arial" w:hAnsi="Arial" w:cs="Arial"/>
          <w:color w:val="FF0000"/>
        </w:rPr>
        <w:t>…</w:t>
      </w:r>
    </w:p>
    <w:p w14:paraId="3A278ACB" w14:textId="1A045767" w:rsidR="00931587" w:rsidRDefault="00931587" w:rsidP="00931587">
      <w:pPr>
        <w:pStyle w:val="NoSpacing"/>
        <w:jc w:val="both"/>
        <w:rPr>
          <w:rFonts w:ascii="Arial" w:hAnsi="Arial" w:cs="Arial"/>
        </w:rPr>
      </w:pPr>
    </w:p>
    <w:p w14:paraId="490B0CE1" w14:textId="77777777" w:rsidR="00931587" w:rsidRDefault="00931587" w:rsidP="00931587">
      <w:pPr>
        <w:pStyle w:val="NoSpacing"/>
        <w:jc w:val="both"/>
        <w:rPr>
          <w:rFonts w:ascii="Arial" w:hAnsi="Arial" w:cs="Arial"/>
        </w:rPr>
      </w:pPr>
    </w:p>
    <w:tbl>
      <w:tblPr>
        <w:tblW w:w="13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1594"/>
        <w:gridCol w:w="1752"/>
        <w:gridCol w:w="1274"/>
        <w:gridCol w:w="1434"/>
        <w:gridCol w:w="1433"/>
        <w:gridCol w:w="1434"/>
        <w:gridCol w:w="1434"/>
      </w:tblGrid>
      <w:tr w:rsidR="00931587" w:rsidRPr="00DC0C3A" w14:paraId="752B4D8E" w14:textId="77777777" w:rsidTr="00BE6BC7">
        <w:trPr>
          <w:trHeight w:val="656"/>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47F9FC0A" w14:textId="77777777" w:rsidR="00931587" w:rsidRPr="00DC0C3A" w:rsidRDefault="00931587" w:rsidP="00BE6BC7">
            <w:pPr>
              <w:pStyle w:val="NoSpacing"/>
              <w:rPr>
                <w:rFonts w:ascii="Arial" w:hAnsi="Arial" w:cs="Arial"/>
                <w:b/>
              </w:rPr>
            </w:pPr>
            <w:r w:rsidRPr="00DC0C3A">
              <w:rPr>
                <w:rFonts w:ascii="Arial" w:hAnsi="Arial" w:cs="Arial"/>
                <w:b/>
              </w:rPr>
              <w:lastRenderedPageBreak/>
              <w:t>Performance Indicator</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5C46DF7A" w14:textId="77777777" w:rsidR="00931587" w:rsidRPr="00DC0C3A" w:rsidRDefault="00931587" w:rsidP="00BE6BC7">
            <w:pPr>
              <w:pStyle w:val="NoSpacing"/>
              <w:rPr>
                <w:rFonts w:ascii="Arial" w:hAnsi="Arial" w:cs="Arial"/>
                <w:b/>
              </w:rPr>
            </w:pPr>
            <w:r w:rsidRPr="00DC0C3A">
              <w:rPr>
                <w:rFonts w:ascii="Arial" w:hAnsi="Arial" w:cs="Arial"/>
                <w:b/>
              </w:rPr>
              <w:t>Frequency</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25F82EFA" w14:textId="77777777" w:rsidR="00931587" w:rsidRPr="00DC0C3A" w:rsidRDefault="00931587" w:rsidP="00BE6BC7">
            <w:pPr>
              <w:pStyle w:val="NoSpacing"/>
              <w:rPr>
                <w:rFonts w:ascii="Arial" w:hAnsi="Arial" w:cs="Arial"/>
                <w:b/>
              </w:rPr>
            </w:pPr>
            <w:r w:rsidRPr="00DC0C3A">
              <w:rPr>
                <w:rFonts w:ascii="Arial" w:hAnsi="Arial" w:cs="Arial"/>
                <w:b/>
              </w:rPr>
              <w:t xml:space="preserve">Directorate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D2EF6A0" w14:textId="77777777" w:rsidR="00931587" w:rsidRPr="00DC0C3A" w:rsidRDefault="00931587" w:rsidP="00BE6BC7">
            <w:pPr>
              <w:pStyle w:val="NoSpacing"/>
              <w:rPr>
                <w:rFonts w:ascii="Arial" w:hAnsi="Arial" w:cs="Arial"/>
                <w:b/>
              </w:rPr>
            </w:pPr>
            <w:r w:rsidRPr="00DC0C3A">
              <w:rPr>
                <w:rFonts w:ascii="Arial" w:hAnsi="Arial" w:cs="Arial"/>
                <w:b/>
              </w:rPr>
              <w:t>Good is</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DB82EBE" w14:textId="77777777" w:rsidR="00931587" w:rsidRPr="00DC0C3A" w:rsidRDefault="00931587" w:rsidP="00BE6BC7">
            <w:pPr>
              <w:pStyle w:val="NoSpacing"/>
              <w:rPr>
                <w:rFonts w:ascii="Arial" w:hAnsi="Arial" w:cs="Arial"/>
                <w:b/>
              </w:rPr>
            </w:pPr>
            <w:r w:rsidRPr="00DC0C3A">
              <w:rPr>
                <w:rFonts w:ascii="Arial" w:hAnsi="Arial" w:cs="Arial"/>
                <w:b/>
              </w:rPr>
              <w:t>2017/18 Outturn</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DE607F7" w14:textId="77777777" w:rsidR="00931587" w:rsidRPr="00DC0C3A" w:rsidRDefault="00931587" w:rsidP="00BE6BC7">
            <w:pPr>
              <w:pStyle w:val="NoSpacing"/>
              <w:rPr>
                <w:rFonts w:ascii="Arial" w:hAnsi="Arial" w:cs="Arial"/>
                <w:b/>
              </w:rPr>
            </w:pPr>
            <w:r w:rsidRPr="00DC0C3A">
              <w:rPr>
                <w:rFonts w:ascii="Arial" w:hAnsi="Arial" w:cs="Arial"/>
                <w:b/>
              </w:rPr>
              <w:t>2018/19 Outturn</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CCC5982" w14:textId="77777777" w:rsidR="00931587" w:rsidRPr="00DC0C3A" w:rsidRDefault="00931587" w:rsidP="00BE6BC7">
            <w:pPr>
              <w:pStyle w:val="NoSpacing"/>
              <w:rPr>
                <w:rFonts w:ascii="Arial" w:hAnsi="Arial" w:cs="Arial"/>
                <w:b/>
              </w:rPr>
            </w:pPr>
            <w:r w:rsidRPr="00DC0C3A">
              <w:rPr>
                <w:rFonts w:ascii="Arial" w:hAnsi="Arial" w:cs="Arial"/>
                <w:b/>
              </w:rPr>
              <w:t>2019/20 Outturn</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692B4B4" w14:textId="77777777" w:rsidR="00931587" w:rsidRPr="00DC0C3A" w:rsidRDefault="00931587" w:rsidP="00BE6BC7">
            <w:pPr>
              <w:pStyle w:val="NoSpacing"/>
              <w:rPr>
                <w:rFonts w:ascii="Arial" w:hAnsi="Arial" w:cs="Arial"/>
                <w:b/>
              </w:rPr>
            </w:pPr>
            <w:r w:rsidRPr="00DC0C3A">
              <w:rPr>
                <w:rFonts w:ascii="Arial" w:hAnsi="Arial" w:cs="Arial"/>
                <w:b/>
              </w:rPr>
              <w:t>2020/21 Target</w:t>
            </w:r>
          </w:p>
        </w:tc>
      </w:tr>
      <w:tr w:rsidR="00931587" w:rsidRPr="00AE3530" w14:paraId="23B5C440" w14:textId="77777777" w:rsidTr="00BE6BC7">
        <w:trPr>
          <w:trHeight w:val="656"/>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194B3DA5" w14:textId="77777777" w:rsidR="00931587" w:rsidRPr="0087783B" w:rsidRDefault="00931587" w:rsidP="00BE6BC7">
            <w:pPr>
              <w:pStyle w:val="NoSpacing"/>
              <w:rPr>
                <w:rFonts w:ascii="Arial" w:hAnsi="Arial" w:cs="Arial"/>
                <w:b/>
              </w:rPr>
            </w:pPr>
            <w:r w:rsidRPr="0087783B">
              <w:rPr>
                <w:rFonts w:ascii="Arial" w:hAnsi="Arial" w:cs="Arial"/>
              </w:rPr>
              <w:t>Pupils Average Attainment 8 Score at KS4</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76889C8F" w14:textId="77777777" w:rsidR="00931587" w:rsidRPr="0087783B" w:rsidRDefault="00931587" w:rsidP="00BE6BC7">
            <w:pPr>
              <w:pStyle w:val="NoSpacing"/>
              <w:rPr>
                <w:rFonts w:ascii="Arial" w:hAnsi="Arial" w:cs="Arial"/>
                <w:b/>
              </w:rPr>
            </w:pPr>
            <w:r w:rsidRPr="0087783B">
              <w:rPr>
                <w:rFonts w:ascii="Arial" w:hAnsi="Arial" w:cs="Arial"/>
              </w:rPr>
              <w:t>Annual</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71EB0DEF" w14:textId="77777777" w:rsidR="00931587" w:rsidRPr="0087783B" w:rsidRDefault="00931587" w:rsidP="00BE6BC7">
            <w:pPr>
              <w:pStyle w:val="NoSpacing"/>
              <w:rPr>
                <w:rFonts w:ascii="Arial" w:hAnsi="Arial" w:cs="Arial"/>
                <w:b/>
              </w:rPr>
            </w:pPr>
            <w:r w:rsidRPr="0087783B">
              <w:rPr>
                <w:rFonts w:ascii="Arial" w:hAnsi="Arial" w:cs="Arial"/>
              </w:rPr>
              <w:t>Education and Children's Services</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18290EB" w14:textId="77777777" w:rsidR="00931587" w:rsidRPr="0087783B" w:rsidRDefault="00931587" w:rsidP="00BE6BC7">
            <w:pPr>
              <w:pStyle w:val="NoSpacing"/>
              <w:rPr>
                <w:rFonts w:ascii="Arial" w:hAnsi="Arial" w:cs="Arial"/>
                <w:b/>
              </w:rPr>
            </w:pPr>
            <w:r w:rsidRPr="00197EA2">
              <w:rPr>
                <w:rFonts w:ascii="Arial" w:hAnsi="Arial" w:cs="Arial"/>
              </w:rPr>
              <w:t>High</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8FE7464" w14:textId="77777777" w:rsidR="00931587" w:rsidRPr="000A0F5F" w:rsidRDefault="00931587" w:rsidP="00BE6BC7">
            <w:pPr>
              <w:pStyle w:val="NoSpacing"/>
              <w:rPr>
                <w:rFonts w:ascii="Arial" w:hAnsi="Arial" w:cs="Arial"/>
              </w:rPr>
            </w:pPr>
            <w:r w:rsidRPr="000A0F5F">
              <w:rPr>
                <w:rFonts w:ascii="Arial" w:hAnsi="Arial" w:cs="Arial"/>
              </w:rPr>
              <w:t>46.7</w:t>
            </w:r>
            <w:r w:rsidRPr="000A0F5F">
              <w:rPr>
                <w:rFonts w:ascii="Arial" w:hAnsi="Arial" w:cs="Arial"/>
              </w:rPr>
              <w:br/>
              <w:t>(2017/18)</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4C4052F" w14:textId="77777777" w:rsidR="00931587" w:rsidRPr="000A0F5F" w:rsidRDefault="00931587" w:rsidP="00BE6BC7">
            <w:pPr>
              <w:pStyle w:val="NoSpacing"/>
              <w:rPr>
                <w:rFonts w:ascii="Arial" w:hAnsi="Arial" w:cs="Arial"/>
              </w:rPr>
            </w:pPr>
            <w:r w:rsidRPr="000A0F5F">
              <w:rPr>
                <w:rFonts w:ascii="Arial" w:hAnsi="Arial" w:cs="Arial"/>
              </w:rPr>
              <w:t>46.7</w:t>
            </w:r>
            <w:r w:rsidRPr="000A0F5F">
              <w:rPr>
                <w:rFonts w:ascii="Arial" w:hAnsi="Arial" w:cs="Arial"/>
              </w:rPr>
              <w:br/>
              <w:t>(2018/19)</w:t>
            </w:r>
          </w:p>
        </w:tc>
        <w:tc>
          <w:tcPr>
            <w:tcW w:w="14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07A248" w14:textId="77777777" w:rsidR="00931587" w:rsidRPr="000A0F5F" w:rsidRDefault="00931587" w:rsidP="00BE6BC7">
            <w:pPr>
              <w:pStyle w:val="NoSpacing"/>
              <w:rPr>
                <w:rFonts w:ascii="Arial" w:hAnsi="Arial" w:cs="Arial"/>
              </w:rPr>
            </w:pPr>
            <w:r w:rsidRPr="000A0F5F">
              <w:rPr>
                <w:rFonts w:ascii="Arial" w:hAnsi="Arial" w:cs="Arial"/>
              </w:rPr>
              <w:t>49.7</w:t>
            </w:r>
            <w:r w:rsidRPr="000A0F5F">
              <w:rPr>
                <w:rFonts w:ascii="Arial" w:hAnsi="Arial" w:cs="Arial"/>
              </w:rPr>
              <w:br/>
              <w:t>(2019/20)</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2E98591" w14:textId="77777777" w:rsidR="00931587" w:rsidRPr="000A0F5F" w:rsidRDefault="00931587" w:rsidP="00122FB0">
            <w:pPr>
              <w:pStyle w:val="NoSpacing"/>
              <w:jc w:val="center"/>
              <w:rPr>
                <w:rFonts w:ascii="Arial" w:hAnsi="Arial" w:cs="Arial"/>
              </w:rPr>
            </w:pPr>
            <w:r>
              <w:rPr>
                <w:rFonts w:ascii="Arial" w:hAnsi="Arial" w:cs="Arial"/>
              </w:rPr>
              <w:t>47.7</w:t>
            </w:r>
          </w:p>
        </w:tc>
      </w:tr>
      <w:tr w:rsidR="00931587" w:rsidRPr="0087783B" w14:paraId="3EF18CF0" w14:textId="77777777" w:rsidTr="00BE6BC7">
        <w:trPr>
          <w:trHeight w:val="903"/>
        </w:trPr>
        <w:tc>
          <w:tcPr>
            <w:tcW w:w="3340" w:type="dxa"/>
            <w:tcBorders>
              <w:top w:val="single" w:sz="4" w:space="0" w:color="auto"/>
              <w:left w:val="single" w:sz="4" w:space="0" w:color="auto"/>
              <w:bottom w:val="single" w:sz="4" w:space="0" w:color="auto"/>
              <w:right w:val="single" w:sz="4" w:space="0" w:color="auto"/>
            </w:tcBorders>
          </w:tcPr>
          <w:p w14:paraId="0F36840D" w14:textId="77777777" w:rsidR="00931587" w:rsidRPr="0087783B" w:rsidRDefault="00931587" w:rsidP="00BE6BC7">
            <w:pPr>
              <w:pStyle w:val="NoSpacing"/>
              <w:rPr>
                <w:rFonts w:ascii="Arial" w:hAnsi="Arial" w:cs="Arial"/>
              </w:rPr>
            </w:pPr>
            <w:r>
              <w:rPr>
                <w:rFonts w:ascii="Arial" w:hAnsi="Arial" w:cs="Arial"/>
              </w:rPr>
              <w:t>SEND</w:t>
            </w:r>
            <w:r w:rsidRPr="0087783B">
              <w:rPr>
                <w:rFonts w:ascii="Arial" w:hAnsi="Arial" w:cs="Arial"/>
              </w:rPr>
              <w:t xml:space="preserve"> Pupils Average Attainment 8 Score at KS4</w:t>
            </w:r>
          </w:p>
        </w:tc>
        <w:tc>
          <w:tcPr>
            <w:tcW w:w="1594" w:type="dxa"/>
            <w:tcBorders>
              <w:top w:val="single" w:sz="4" w:space="0" w:color="auto"/>
              <w:left w:val="single" w:sz="4" w:space="0" w:color="auto"/>
              <w:bottom w:val="single" w:sz="4" w:space="0" w:color="auto"/>
              <w:right w:val="single" w:sz="4" w:space="0" w:color="auto"/>
            </w:tcBorders>
          </w:tcPr>
          <w:p w14:paraId="39748E10" w14:textId="77777777" w:rsidR="00931587" w:rsidRPr="0087783B" w:rsidRDefault="00931587" w:rsidP="00BE6BC7">
            <w:pPr>
              <w:pStyle w:val="NoSpacing"/>
              <w:rPr>
                <w:rFonts w:ascii="Arial" w:hAnsi="Arial" w:cs="Arial"/>
              </w:rPr>
            </w:pPr>
            <w:r w:rsidRPr="0087783B">
              <w:rPr>
                <w:rFonts w:ascii="Arial" w:hAnsi="Arial" w:cs="Arial"/>
              </w:rPr>
              <w:t>Annual</w:t>
            </w:r>
          </w:p>
        </w:tc>
        <w:tc>
          <w:tcPr>
            <w:tcW w:w="1752" w:type="dxa"/>
            <w:tcBorders>
              <w:top w:val="single" w:sz="4" w:space="0" w:color="auto"/>
              <w:left w:val="single" w:sz="4" w:space="0" w:color="auto"/>
              <w:bottom w:val="single" w:sz="4" w:space="0" w:color="auto"/>
              <w:right w:val="single" w:sz="4" w:space="0" w:color="auto"/>
            </w:tcBorders>
          </w:tcPr>
          <w:p w14:paraId="477ABD26" w14:textId="77777777" w:rsidR="00931587" w:rsidRPr="0087783B" w:rsidRDefault="00931587" w:rsidP="00BE6BC7">
            <w:pPr>
              <w:pStyle w:val="NoSpacing"/>
              <w:rPr>
                <w:rFonts w:ascii="Arial" w:hAnsi="Arial" w:cs="Arial"/>
              </w:rPr>
            </w:pPr>
            <w:r w:rsidRPr="0087783B">
              <w:rPr>
                <w:rFonts w:ascii="Arial" w:hAnsi="Arial" w:cs="Arial"/>
              </w:rPr>
              <w:t>Education and Children's Services</w:t>
            </w:r>
          </w:p>
        </w:tc>
        <w:tc>
          <w:tcPr>
            <w:tcW w:w="1274" w:type="dxa"/>
            <w:tcBorders>
              <w:top w:val="single" w:sz="4" w:space="0" w:color="auto"/>
              <w:left w:val="single" w:sz="4" w:space="0" w:color="auto"/>
              <w:bottom w:val="single" w:sz="4" w:space="0" w:color="auto"/>
              <w:right w:val="single" w:sz="4" w:space="0" w:color="auto"/>
            </w:tcBorders>
          </w:tcPr>
          <w:p w14:paraId="4AB743A1" w14:textId="77777777" w:rsidR="00931587" w:rsidRPr="0087783B" w:rsidRDefault="00931587" w:rsidP="00BE6BC7">
            <w:pPr>
              <w:pStyle w:val="NoSpacing"/>
              <w:rPr>
                <w:rFonts w:ascii="Arial" w:hAnsi="Arial" w:cs="Arial"/>
              </w:rPr>
            </w:pPr>
            <w:r w:rsidRPr="0087783B">
              <w:rPr>
                <w:rFonts w:ascii="Arial" w:hAnsi="Arial" w:cs="Arial"/>
              </w:rPr>
              <w:t>High</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3AA55BF" w14:textId="77777777" w:rsidR="00931587" w:rsidRPr="000A0F5F" w:rsidRDefault="00931587" w:rsidP="00BE6BC7">
            <w:pPr>
              <w:pStyle w:val="NoSpacing"/>
              <w:rPr>
                <w:rFonts w:ascii="Arial" w:hAnsi="Arial" w:cs="Arial"/>
              </w:rPr>
            </w:pPr>
            <w:r>
              <w:rPr>
                <w:rFonts w:ascii="Arial" w:hAnsi="Arial" w:cs="Arial"/>
              </w:rPr>
              <w:t>31.8</w:t>
            </w:r>
            <w:r w:rsidRPr="000A0F5F">
              <w:rPr>
                <w:rFonts w:ascii="Arial" w:hAnsi="Arial" w:cs="Arial"/>
              </w:rPr>
              <w:br/>
              <w:t>(2017/18)</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8A86D8E" w14:textId="77777777" w:rsidR="00931587" w:rsidRPr="000A0F5F" w:rsidRDefault="00931587" w:rsidP="00BE6BC7">
            <w:pPr>
              <w:pStyle w:val="NoSpacing"/>
              <w:rPr>
                <w:rFonts w:ascii="Arial" w:hAnsi="Arial" w:cs="Arial"/>
              </w:rPr>
            </w:pPr>
            <w:r>
              <w:rPr>
                <w:rFonts w:ascii="Arial" w:hAnsi="Arial" w:cs="Arial"/>
              </w:rPr>
              <w:t>32.5</w:t>
            </w:r>
            <w:r w:rsidRPr="000A0F5F">
              <w:rPr>
                <w:rFonts w:ascii="Arial" w:hAnsi="Arial" w:cs="Arial"/>
              </w:rPr>
              <w:br/>
              <w:t>(2018/19)</w:t>
            </w:r>
          </w:p>
        </w:tc>
        <w:tc>
          <w:tcPr>
            <w:tcW w:w="14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07FD374" w14:textId="77777777" w:rsidR="00931587" w:rsidRPr="000A0F5F" w:rsidRDefault="00931587" w:rsidP="00BE6BC7">
            <w:pPr>
              <w:pStyle w:val="NoSpacing"/>
              <w:rPr>
                <w:rFonts w:ascii="Arial" w:hAnsi="Arial" w:cs="Arial"/>
              </w:rPr>
            </w:pPr>
            <w:r>
              <w:rPr>
                <w:rFonts w:ascii="Arial" w:hAnsi="Arial" w:cs="Arial"/>
              </w:rPr>
              <w:t>36.5</w:t>
            </w:r>
            <w:r w:rsidRPr="000A0F5F">
              <w:rPr>
                <w:rFonts w:ascii="Arial" w:hAnsi="Arial" w:cs="Arial"/>
              </w:rPr>
              <w:br/>
              <w:t>(2019/20)</w:t>
            </w:r>
          </w:p>
        </w:tc>
        <w:tc>
          <w:tcPr>
            <w:tcW w:w="1434" w:type="dxa"/>
            <w:tcBorders>
              <w:top w:val="single" w:sz="4" w:space="0" w:color="auto"/>
              <w:left w:val="single" w:sz="4" w:space="0" w:color="auto"/>
              <w:bottom w:val="single" w:sz="4" w:space="0" w:color="auto"/>
              <w:right w:val="single" w:sz="4" w:space="0" w:color="auto"/>
            </w:tcBorders>
          </w:tcPr>
          <w:p w14:paraId="62DFCE13" w14:textId="77777777" w:rsidR="00931587" w:rsidRPr="000A0F5F" w:rsidRDefault="00931587" w:rsidP="00122FB0">
            <w:pPr>
              <w:pStyle w:val="NoSpacing"/>
              <w:jc w:val="center"/>
              <w:rPr>
                <w:rFonts w:ascii="Arial" w:hAnsi="Arial" w:cs="Arial"/>
              </w:rPr>
            </w:pPr>
            <w:r>
              <w:rPr>
                <w:rFonts w:ascii="Arial" w:hAnsi="Arial" w:cs="Arial"/>
              </w:rPr>
              <w:t>32</w:t>
            </w:r>
          </w:p>
        </w:tc>
      </w:tr>
    </w:tbl>
    <w:p w14:paraId="53B8AB74" w14:textId="0017A365" w:rsidR="00931587" w:rsidRDefault="00931587" w:rsidP="00931587">
      <w:pPr>
        <w:pStyle w:val="NoSpacing"/>
        <w:rPr>
          <w:rFonts w:ascii="Arial" w:hAnsi="Arial" w:cs="Arial"/>
          <w:color w:val="000000"/>
        </w:rPr>
      </w:pPr>
    </w:p>
    <w:p w14:paraId="25E407B3" w14:textId="42A618E6" w:rsidR="00944591" w:rsidRPr="00E4227B" w:rsidRDefault="00944591" w:rsidP="00E4227B">
      <w:pPr>
        <w:pStyle w:val="NoSpacing"/>
        <w:ind w:left="720"/>
        <w:rPr>
          <w:rFonts w:ascii="Arial" w:hAnsi="Arial" w:cs="Arial"/>
          <w:i/>
          <w:iCs/>
          <w:color w:val="000000"/>
        </w:rPr>
      </w:pPr>
      <w:r w:rsidRPr="00E4227B">
        <w:rPr>
          <w:rFonts w:ascii="Arial" w:hAnsi="Arial" w:cs="Arial"/>
          <w:i/>
          <w:iCs/>
          <w:color w:val="000000"/>
        </w:rPr>
        <w:t xml:space="preserve">Please note the above figures and narrative below </w:t>
      </w:r>
      <w:r w:rsidR="00E4227B" w:rsidRPr="00E4227B">
        <w:rPr>
          <w:rFonts w:ascii="Arial" w:hAnsi="Arial" w:cs="Arial"/>
          <w:i/>
          <w:iCs/>
          <w:color w:val="000000"/>
        </w:rPr>
        <w:t>is the same as that in the previous corporate performance report</w:t>
      </w:r>
      <w:r w:rsidR="00751EE4">
        <w:rPr>
          <w:rFonts w:ascii="Arial" w:hAnsi="Arial" w:cs="Arial"/>
          <w:i/>
          <w:iCs/>
          <w:color w:val="000000"/>
        </w:rPr>
        <w:t>.</w:t>
      </w:r>
    </w:p>
    <w:p w14:paraId="6E9659EE" w14:textId="77777777" w:rsidR="00931587" w:rsidRDefault="00931587" w:rsidP="00931587">
      <w:pPr>
        <w:pStyle w:val="NoSpacing"/>
        <w:jc w:val="both"/>
        <w:rPr>
          <w:rFonts w:ascii="Arial" w:hAnsi="Arial" w:cs="Arial"/>
        </w:rPr>
      </w:pPr>
    </w:p>
    <w:p w14:paraId="1904E2AB" w14:textId="77777777" w:rsidR="00931587" w:rsidRDefault="00931587" w:rsidP="00931587">
      <w:pPr>
        <w:pStyle w:val="NoSpacing"/>
        <w:jc w:val="both"/>
        <w:rPr>
          <w:rFonts w:ascii="Arial" w:hAnsi="Arial" w:cs="Arial"/>
        </w:rPr>
      </w:pPr>
      <w:r w:rsidRPr="0087783B">
        <w:rPr>
          <w:rFonts w:ascii="Arial" w:hAnsi="Arial" w:cs="Arial"/>
          <w:b/>
        </w:rPr>
        <w:t>Key Stage 4</w:t>
      </w:r>
      <w:r>
        <w:rPr>
          <w:rFonts w:ascii="Arial" w:hAnsi="Arial" w:cs="Arial"/>
          <w:b/>
        </w:rPr>
        <w:t xml:space="preserve"> (KS4)</w:t>
      </w:r>
      <w:r>
        <w:rPr>
          <w:rFonts w:ascii="Arial" w:hAnsi="Arial" w:cs="Arial"/>
        </w:rPr>
        <w:t>.</w:t>
      </w:r>
      <w:r>
        <w:rPr>
          <w:rFonts w:ascii="Arial" w:hAnsi="Arial" w:cs="Arial"/>
          <w:b/>
        </w:rPr>
        <w:t xml:space="preserve"> </w:t>
      </w:r>
      <w:r w:rsidRPr="00836BE4">
        <w:rPr>
          <w:rFonts w:ascii="Arial" w:hAnsi="Arial" w:cs="Arial"/>
        </w:rPr>
        <w:t xml:space="preserve">Due to the </w:t>
      </w:r>
      <w:r>
        <w:rPr>
          <w:rFonts w:ascii="Arial" w:hAnsi="Arial" w:cs="Arial"/>
        </w:rPr>
        <w:t>Covid-19</w:t>
      </w:r>
      <w:r w:rsidRPr="00836BE4">
        <w:rPr>
          <w:rFonts w:ascii="Arial" w:hAnsi="Arial" w:cs="Arial"/>
        </w:rPr>
        <w:t xml:space="preserve"> pandemic, the summer exam series was cancelled in 2020. Pupils scheduled to sit GCSE and A/AS level exams in 2020 were awarded either a centre assessment grade (based on what the school or college believed the student would most likely have achieved had exams gone ahead) or their calculated grade using a model developed by Ofqual - whichever was the higher of the two.</w:t>
      </w:r>
    </w:p>
    <w:p w14:paraId="6B78807A" w14:textId="77777777" w:rsidR="00931587" w:rsidRDefault="00931587" w:rsidP="00931587">
      <w:pPr>
        <w:pStyle w:val="NoSpacing"/>
        <w:jc w:val="both"/>
        <w:rPr>
          <w:rFonts w:ascii="Arial" w:hAnsi="Arial" w:cs="Arial"/>
        </w:rPr>
      </w:pPr>
    </w:p>
    <w:p w14:paraId="08E5B7AB" w14:textId="77777777" w:rsidR="00931587" w:rsidRDefault="00931587" w:rsidP="00931587">
      <w:pPr>
        <w:pStyle w:val="NoSpacing"/>
        <w:jc w:val="both"/>
        <w:rPr>
          <w:rFonts w:ascii="Arial" w:hAnsi="Arial" w:cs="Arial"/>
        </w:rPr>
      </w:pPr>
      <w:r w:rsidRPr="00F714FC">
        <w:rPr>
          <w:rFonts w:ascii="Arial" w:hAnsi="Arial" w:cs="Arial"/>
          <w:b/>
        </w:rPr>
        <w:t>The DfE advise to be cautious when comparing headline measures between years.</w:t>
      </w:r>
      <w:r>
        <w:rPr>
          <w:rFonts w:ascii="Arial" w:hAnsi="Arial" w:cs="Arial"/>
        </w:rPr>
        <w:t xml:space="preserve"> Each </w:t>
      </w:r>
      <w:r w:rsidRPr="00827B41">
        <w:rPr>
          <w:rFonts w:ascii="Arial" w:hAnsi="Arial" w:cs="Arial"/>
        </w:rPr>
        <w:t xml:space="preserve">of the pupil level attainment statistics have increased - more than would be expected in a typical year - between the 2018/19 and 2019/20 academic years. This reflects the change to the way GCSE grades were awarded rather than improvements in pupil performance. As a </w:t>
      </w:r>
      <w:proofErr w:type="gramStart"/>
      <w:r w:rsidRPr="00827B41">
        <w:rPr>
          <w:rFonts w:ascii="Arial" w:hAnsi="Arial" w:cs="Arial"/>
        </w:rPr>
        <w:t>result</w:t>
      </w:r>
      <w:proofErr w:type="gramEnd"/>
      <w:r w:rsidRPr="00827B41">
        <w:rPr>
          <w:rFonts w:ascii="Arial" w:hAnsi="Arial" w:cs="Arial"/>
        </w:rPr>
        <w:t xml:space="preserve"> the 2019/20 data should not be directly compared to attainment data from previous years for the purposes of measuring changes in student performance</w:t>
      </w:r>
      <w:r>
        <w:rPr>
          <w:rFonts w:ascii="Arial" w:hAnsi="Arial" w:cs="Arial"/>
        </w:rPr>
        <w:t xml:space="preserve">. The DfE </w:t>
      </w:r>
      <w:r w:rsidRPr="00197EA2">
        <w:rPr>
          <w:rFonts w:ascii="Arial" w:hAnsi="Arial" w:cs="Arial"/>
        </w:rPr>
        <w:t xml:space="preserve">have decided it is not appropriate to publish progress 8 </w:t>
      </w:r>
      <w:r>
        <w:rPr>
          <w:rFonts w:ascii="Arial" w:hAnsi="Arial" w:cs="Arial"/>
        </w:rPr>
        <w:t>indicator</w:t>
      </w:r>
      <w:r w:rsidRPr="00197EA2">
        <w:rPr>
          <w:rFonts w:ascii="Arial" w:hAnsi="Arial" w:cs="Arial"/>
        </w:rPr>
        <w:t xml:space="preserve">. </w:t>
      </w:r>
    </w:p>
    <w:p w14:paraId="6FC3CB99" w14:textId="77777777" w:rsidR="00931587" w:rsidRDefault="00931587" w:rsidP="00931587">
      <w:pPr>
        <w:pStyle w:val="NoSpacing"/>
        <w:jc w:val="both"/>
        <w:rPr>
          <w:rFonts w:ascii="Arial" w:hAnsi="Arial" w:cs="Arial"/>
        </w:rPr>
      </w:pPr>
    </w:p>
    <w:p w14:paraId="45669A6D" w14:textId="77777777" w:rsidR="00931587" w:rsidRDefault="00931587" w:rsidP="00931587">
      <w:pPr>
        <w:pStyle w:val="NoSpacing"/>
        <w:jc w:val="both"/>
        <w:rPr>
          <w:rFonts w:ascii="Arial" w:hAnsi="Arial" w:cs="Arial"/>
        </w:rPr>
      </w:pPr>
      <w:r w:rsidRPr="0087783B">
        <w:rPr>
          <w:rFonts w:ascii="Arial" w:hAnsi="Arial" w:cs="Arial"/>
        </w:rPr>
        <w:t>Recent data published by the Department for Education (DfE) for the period 201</w:t>
      </w:r>
      <w:r>
        <w:rPr>
          <w:rFonts w:ascii="Arial" w:hAnsi="Arial" w:cs="Arial"/>
        </w:rPr>
        <w:t>9</w:t>
      </w:r>
      <w:r w:rsidRPr="0087783B">
        <w:rPr>
          <w:rFonts w:ascii="Arial" w:hAnsi="Arial" w:cs="Arial"/>
        </w:rPr>
        <w:t>/</w:t>
      </w:r>
      <w:r>
        <w:rPr>
          <w:rFonts w:ascii="Arial" w:hAnsi="Arial" w:cs="Arial"/>
        </w:rPr>
        <w:t>20</w:t>
      </w:r>
      <w:r w:rsidRPr="0087783B">
        <w:rPr>
          <w:rFonts w:ascii="Arial" w:hAnsi="Arial" w:cs="Arial"/>
        </w:rPr>
        <w:t xml:space="preserve"> suggests pupils Average Attainment 8 Score at KS4 </w:t>
      </w:r>
      <w:r>
        <w:rPr>
          <w:rFonts w:ascii="Arial" w:hAnsi="Arial" w:cs="Arial"/>
        </w:rPr>
        <w:t>is</w:t>
      </w:r>
      <w:r w:rsidRPr="0087783B">
        <w:rPr>
          <w:rFonts w:ascii="Arial" w:hAnsi="Arial" w:cs="Arial"/>
        </w:rPr>
        <w:t xml:space="preserve"> </w:t>
      </w:r>
      <w:r>
        <w:rPr>
          <w:rFonts w:ascii="Arial" w:hAnsi="Arial" w:cs="Arial"/>
        </w:rPr>
        <w:t>49.7</w:t>
      </w:r>
      <w:r w:rsidRPr="0087783B">
        <w:rPr>
          <w:rFonts w:ascii="Arial" w:hAnsi="Arial" w:cs="Arial"/>
        </w:rPr>
        <w:t>. The Lancashire average remain</w:t>
      </w:r>
      <w:r>
        <w:rPr>
          <w:rFonts w:ascii="Arial" w:hAnsi="Arial" w:cs="Arial"/>
        </w:rPr>
        <w:t>s</w:t>
      </w:r>
      <w:r w:rsidRPr="0087783B">
        <w:rPr>
          <w:rFonts w:ascii="Arial" w:hAnsi="Arial" w:cs="Arial"/>
        </w:rPr>
        <w:t xml:space="preserve"> lower compared to the national (</w:t>
      </w:r>
      <w:r>
        <w:rPr>
          <w:rFonts w:ascii="Arial" w:hAnsi="Arial" w:cs="Arial"/>
        </w:rPr>
        <w:t>50.2) and higher than the regional (49.0</w:t>
      </w:r>
      <w:r w:rsidRPr="0087783B">
        <w:rPr>
          <w:rFonts w:ascii="Arial" w:hAnsi="Arial" w:cs="Arial"/>
        </w:rPr>
        <w:t xml:space="preserve">) </w:t>
      </w:r>
      <w:r>
        <w:rPr>
          <w:rFonts w:ascii="Arial" w:hAnsi="Arial" w:cs="Arial"/>
        </w:rPr>
        <w:t xml:space="preserve">state school </w:t>
      </w:r>
      <w:r w:rsidRPr="0087783B">
        <w:rPr>
          <w:rFonts w:ascii="Arial" w:hAnsi="Arial" w:cs="Arial"/>
        </w:rPr>
        <w:t xml:space="preserve">averages. Lancashire is positioned in the 3rd quartile nationally against this indicator and ranked </w:t>
      </w:r>
      <w:r>
        <w:rPr>
          <w:rFonts w:ascii="Arial" w:hAnsi="Arial" w:cs="Arial"/>
        </w:rPr>
        <w:t>74</w:t>
      </w:r>
      <w:r w:rsidRPr="0087783B">
        <w:rPr>
          <w:rFonts w:ascii="Arial" w:hAnsi="Arial" w:cs="Arial"/>
        </w:rPr>
        <w:t xml:space="preserve"> of 15</w:t>
      </w:r>
      <w:r>
        <w:rPr>
          <w:rFonts w:ascii="Arial" w:hAnsi="Arial" w:cs="Arial"/>
        </w:rPr>
        <w:t xml:space="preserve">0. The latest performance is well above the target set for 2020/21 (47.7). </w:t>
      </w:r>
    </w:p>
    <w:p w14:paraId="0C3F2C88" w14:textId="77777777" w:rsidR="00931587" w:rsidRDefault="00931587" w:rsidP="00931587">
      <w:pPr>
        <w:pStyle w:val="NoSpacing"/>
        <w:jc w:val="both"/>
        <w:rPr>
          <w:rFonts w:ascii="Arial" w:hAnsi="Arial" w:cs="Arial"/>
        </w:rPr>
      </w:pPr>
    </w:p>
    <w:p w14:paraId="6E9C0437" w14:textId="77777777" w:rsidR="00931587" w:rsidRDefault="00931587" w:rsidP="00931587">
      <w:pPr>
        <w:pStyle w:val="NoSpacing"/>
        <w:jc w:val="both"/>
        <w:rPr>
          <w:rFonts w:ascii="Arial" w:hAnsi="Arial" w:cs="Arial"/>
        </w:rPr>
      </w:pPr>
      <w:r>
        <w:rPr>
          <w:rFonts w:ascii="Arial" w:hAnsi="Arial" w:cs="Arial"/>
        </w:rPr>
        <w:t>The SEND</w:t>
      </w:r>
      <w:r w:rsidRPr="0087783B">
        <w:rPr>
          <w:rFonts w:ascii="Arial" w:hAnsi="Arial" w:cs="Arial"/>
        </w:rPr>
        <w:t xml:space="preserve"> pupils Average Attainment 8 Score at KS4 </w:t>
      </w:r>
      <w:r>
        <w:rPr>
          <w:rFonts w:ascii="Arial" w:hAnsi="Arial" w:cs="Arial"/>
        </w:rPr>
        <w:t>is</w:t>
      </w:r>
      <w:r w:rsidRPr="0087783B">
        <w:rPr>
          <w:rFonts w:ascii="Arial" w:hAnsi="Arial" w:cs="Arial"/>
        </w:rPr>
        <w:t xml:space="preserve"> </w:t>
      </w:r>
      <w:r>
        <w:rPr>
          <w:rFonts w:ascii="Arial" w:hAnsi="Arial" w:cs="Arial"/>
        </w:rPr>
        <w:t>36.5</w:t>
      </w:r>
      <w:r w:rsidRPr="0087783B">
        <w:rPr>
          <w:rFonts w:ascii="Arial" w:hAnsi="Arial" w:cs="Arial"/>
        </w:rPr>
        <w:t xml:space="preserve">. The Lancashire average </w:t>
      </w:r>
      <w:r>
        <w:rPr>
          <w:rFonts w:ascii="Arial" w:hAnsi="Arial" w:cs="Arial"/>
        </w:rPr>
        <w:t>is higher</w:t>
      </w:r>
      <w:r w:rsidRPr="0087783B">
        <w:rPr>
          <w:rFonts w:ascii="Arial" w:hAnsi="Arial" w:cs="Arial"/>
        </w:rPr>
        <w:t xml:space="preserve"> t</w:t>
      </w:r>
      <w:r>
        <w:rPr>
          <w:rFonts w:ascii="Arial" w:hAnsi="Arial" w:cs="Arial"/>
        </w:rPr>
        <w:t>han</w:t>
      </w:r>
      <w:r w:rsidRPr="0087783B">
        <w:rPr>
          <w:rFonts w:ascii="Arial" w:hAnsi="Arial" w:cs="Arial"/>
        </w:rPr>
        <w:t xml:space="preserve"> the national (</w:t>
      </w:r>
      <w:r>
        <w:rPr>
          <w:rFonts w:ascii="Arial" w:hAnsi="Arial" w:cs="Arial"/>
        </w:rPr>
        <w:t xml:space="preserve">36.4) and </w:t>
      </w:r>
      <w:r w:rsidRPr="0087783B">
        <w:rPr>
          <w:rFonts w:ascii="Arial" w:hAnsi="Arial" w:cs="Arial"/>
        </w:rPr>
        <w:t>regional (</w:t>
      </w:r>
      <w:r>
        <w:rPr>
          <w:rFonts w:ascii="Arial" w:hAnsi="Arial" w:cs="Arial"/>
        </w:rPr>
        <w:t>35.3</w:t>
      </w:r>
      <w:r w:rsidRPr="0087783B">
        <w:rPr>
          <w:rFonts w:ascii="Arial" w:hAnsi="Arial" w:cs="Arial"/>
        </w:rPr>
        <w:t>)</w:t>
      </w:r>
      <w:r>
        <w:rPr>
          <w:rFonts w:ascii="Arial" w:hAnsi="Arial" w:cs="Arial"/>
        </w:rPr>
        <w:t xml:space="preserve"> averages</w:t>
      </w:r>
      <w:r w:rsidRPr="0087783B">
        <w:rPr>
          <w:rFonts w:ascii="Arial" w:hAnsi="Arial" w:cs="Arial"/>
        </w:rPr>
        <w:t xml:space="preserve">. Lancashire is positioned in the </w:t>
      </w:r>
      <w:r>
        <w:rPr>
          <w:rFonts w:ascii="Arial" w:hAnsi="Arial" w:cs="Arial"/>
        </w:rPr>
        <w:t>2nd</w:t>
      </w:r>
      <w:r w:rsidRPr="0087783B">
        <w:rPr>
          <w:rFonts w:ascii="Arial" w:hAnsi="Arial" w:cs="Arial"/>
        </w:rPr>
        <w:t xml:space="preserve"> quartile nationally against this indicator and ranked </w:t>
      </w:r>
      <w:r>
        <w:rPr>
          <w:rFonts w:ascii="Arial" w:hAnsi="Arial" w:cs="Arial"/>
        </w:rPr>
        <w:t>65</w:t>
      </w:r>
      <w:r w:rsidRPr="0087783B">
        <w:rPr>
          <w:rFonts w:ascii="Arial" w:hAnsi="Arial" w:cs="Arial"/>
        </w:rPr>
        <w:t xml:space="preserve"> of </w:t>
      </w:r>
      <w:r>
        <w:rPr>
          <w:rFonts w:ascii="Arial" w:hAnsi="Arial" w:cs="Arial"/>
        </w:rPr>
        <w:t>all Local Authorities.</w:t>
      </w:r>
      <w:r w:rsidRPr="0087783B">
        <w:rPr>
          <w:rFonts w:ascii="Arial" w:hAnsi="Arial" w:cs="Arial"/>
        </w:rPr>
        <w:t xml:space="preserve"> T</w:t>
      </w:r>
      <w:r>
        <w:rPr>
          <w:rFonts w:ascii="Arial" w:hAnsi="Arial" w:cs="Arial"/>
        </w:rPr>
        <w:t xml:space="preserve">he latest figure is above </w:t>
      </w:r>
      <w:r w:rsidRPr="0087783B">
        <w:rPr>
          <w:rFonts w:ascii="Arial" w:hAnsi="Arial" w:cs="Arial"/>
        </w:rPr>
        <w:t xml:space="preserve">the target of </w:t>
      </w:r>
      <w:r>
        <w:rPr>
          <w:rFonts w:ascii="Arial" w:hAnsi="Arial" w:cs="Arial"/>
        </w:rPr>
        <w:t>32</w:t>
      </w:r>
      <w:r w:rsidRPr="0087783B">
        <w:rPr>
          <w:rFonts w:ascii="Arial" w:hAnsi="Arial" w:cs="Arial"/>
        </w:rPr>
        <w:t xml:space="preserve"> set for 2020/21.</w:t>
      </w:r>
    </w:p>
    <w:p w14:paraId="725AB5A0" w14:textId="77777777" w:rsidR="00931587" w:rsidRDefault="00931587" w:rsidP="00931587">
      <w:pPr>
        <w:pStyle w:val="NoSpacing"/>
        <w:jc w:val="both"/>
        <w:rPr>
          <w:rFonts w:ascii="Arial" w:hAnsi="Arial" w:cs="Arial"/>
        </w:rPr>
      </w:pPr>
    </w:p>
    <w:p w14:paraId="1CF6C0E0" w14:textId="77777777" w:rsidR="00931587" w:rsidRDefault="00931587" w:rsidP="00931587">
      <w:pPr>
        <w:pStyle w:val="NoSpacing"/>
        <w:jc w:val="both"/>
        <w:rPr>
          <w:rFonts w:ascii="Arial" w:hAnsi="Arial" w:cs="Arial"/>
        </w:rPr>
      </w:pPr>
      <w:r>
        <w:rPr>
          <w:rFonts w:ascii="Arial" w:hAnsi="Arial" w:cs="Arial"/>
          <w:b/>
        </w:rPr>
        <w:t xml:space="preserve">Early years Foundation Stage and </w:t>
      </w:r>
      <w:r w:rsidRPr="0087783B">
        <w:rPr>
          <w:rFonts w:ascii="Arial" w:hAnsi="Arial" w:cs="Arial"/>
          <w:b/>
        </w:rPr>
        <w:t>Key Stage 2</w:t>
      </w:r>
      <w:r>
        <w:rPr>
          <w:rFonts w:ascii="Arial" w:hAnsi="Arial" w:cs="Arial"/>
          <w:b/>
        </w:rPr>
        <w:t xml:space="preserve">. </w:t>
      </w:r>
      <w:r w:rsidRPr="00534353">
        <w:rPr>
          <w:rFonts w:ascii="Arial" w:hAnsi="Arial" w:cs="Arial"/>
        </w:rPr>
        <w:t>Assessments did not take place for the period 2019/10</w:t>
      </w:r>
      <w:r>
        <w:rPr>
          <w:rFonts w:ascii="Arial" w:hAnsi="Arial" w:cs="Arial"/>
          <w:b/>
        </w:rPr>
        <w:t xml:space="preserve"> </w:t>
      </w:r>
      <w:r w:rsidRPr="00534353">
        <w:rPr>
          <w:rFonts w:ascii="Arial" w:hAnsi="Arial" w:cs="Arial"/>
        </w:rPr>
        <w:t>hence the omission of performance updates under these areas</w:t>
      </w:r>
      <w:r>
        <w:rPr>
          <w:rFonts w:ascii="Arial" w:hAnsi="Arial" w:cs="Arial"/>
        </w:rPr>
        <w:t>.</w:t>
      </w:r>
    </w:p>
    <w:p w14:paraId="41520DB1" w14:textId="77777777" w:rsidR="00931587" w:rsidRDefault="00931587" w:rsidP="00931587">
      <w:pPr>
        <w:pStyle w:val="NoSpacing"/>
        <w:jc w:val="both"/>
        <w:rPr>
          <w:rFonts w:ascii="Arial" w:hAnsi="Arial" w:cs="Arial"/>
          <w:b/>
        </w:rPr>
      </w:pPr>
    </w:p>
    <w:p w14:paraId="03E4219C" w14:textId="45FCD5B5" w:rsidR="00931587" w:rsidRDefault="00931587" w:rsidP="00931587">
      <w:pPr>
        <w:rPr>
          <w:rFonts w:cs="Arial"/>
          <w:b/>
          <w:bCs/>
          <w:color w:val="auto"/>
          <w:sz w:val="22"/>
          <w:szCs w:val="22"/>
        </w:rPr>
      </w:pPr>
      <w:r w:rsidRPr="0087783B">
        <w:rPr>
          <w:rFonts w:cs="Arial"/>
          <w:b/>
          <w:color w:val="auto"/>
          <w:sz w:val="22"/>
          <w:szCs w:val="22"/>
        </w:rPr>
        <w:t>School placements</w:t>
      </w:r>
      <w:r>
        <w:rPr>
          <w:rFonts w:cs="Arial"/>
          <w:color w:val="auto"/>
          <w:sz w:val="22"/>
          <w:szCs w:val="22"/>
        </w:rPr>
        <w:t xml:space="preserve">. </w:t>
      </w:r>
      <w:r w:rsidRPr="00B92743">
        <w:rPr>
          <w:rFonts w:cs="Arial"/>
          <w:color w:val="auto"/>
          <w:sz w:val="22"/>
          <w:szCs w:val="22"/>
        </w:rPr>
        <w:t xml:space="preserve">The updated school offers placement DfE data is scheduled to be published </w:t>
      </w:r>
      <w:r w:rsidR="00B92743" w:rsidRPr="00B92743">
        <w:rPr>
          <w:rFonts w:cs="Arial"/>
          <w:color w:val="auto"/>
          <w:sz w:val="22"/>
          <w:szCs w:val="22"/>
        </w:rPr>
        <w:t>around</w:t>
      </w:r>
      <w:r w:rsidRPr="00B92743">
        <w:rPr>
          <w:rFonts w:cs="Arial"/>
          <w:color w:val="auto"/>
          <w:sz w:val="22"/>
          <w:szCs w:val="22"/>
        </w:rPr>
        <w:t xml:space="preserve"> June 2021.</w:t>
      </w:r>
      <w:r>
        <w:rPr>
          <w:rFonts w:cs="Arial"/>
          <w:b/>
          <w:bCs/>
          <w:color w:val="auto"/>
          <w:sz w:val="22"/>
          <w:szCs w:val="22"/>
        </w:rPr>
        <w:t xml:space="preserve"> </w:t>
      </w:r>
    </w:p>
    <w:p w14:paraId="7B1B2921" w14:textId="77777777" w:rsidR="005669BE" w:rsidRDefault="005669BE" w:rsidP="0030579F">
      <w:pPr>
        <w:rPr>
          <w:rFonts w:cs="Arial"/>
          <w:b/>
          <w:bCs/>
          <w:color w:val="auto"/>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469"/>
        <w:gridCol w:w="1468"/>
        <w:gridCol w:w="881"/>
        <w:gridCol w:w="1218"/>
        <w:gridCol w:w="1276"/>
        <w:gridCol w:w="1417"/>
        <w:gridCol w:w="1418"/>
        <w:gridCol w:w="1559"/>
        <w:gridCol w:w="1559"/>
      </w:tblGrid>
      <w:tr w:rsidR="005F2EB2" w:rsidRPr="00FA30B2" w14:paraId="38333A33" w14:textId="77777777" w:rsidTr="005F2EB2">
        <w:trPr>
          <w:trHeight w:val="287"/>
        </w:trPr>
        <w:tc>
          <w:tcPr>
            <w:tcW w:w="1910" w:type="dxa"/>
            <w:tcBorders>
              <w:top w:val="single" w:sz="4" w:space="0" w:color="auto"/>
              <w:left w:val="single" w:sz="4" w:space="0" w:color="auto"/>
              <w:bottom w:val="single" w:sz="4" w:space="0" w:color="auto"/>
              <w:right w:val="single" w:sz="4" w:space="0" w:color="auto"/>
            </w:tcBorders>
            <w:hideMark/>
          </w:tcPr>
          <w:p w14:paraId="29BD2362" w14:textId="65C4AEFC" w:rsidR="005F2EB2" w:rsidRPr="00FA30B2" w:rsidRDefault="005F2EB2" w:rsidP="005F2EB2">
            <w:pPr>
              <w:pStyle w:val="NoSpacing"/>
              <w:rPr>
                <w:rFonts w:ascii="Arial" w:hAnsi="Arial" w:cs="Arial"/>
                <w:b/>
              </w:rPr>
            </w:pPr>
            <w:r w:rsidRPr="0047796E">
              <w:rPr>
                <w:rFonts w:ascii="Arial" w:hAnsi="Arial" w:cs="Arial"/>
                <w:b/>
                <w:sz w:val="20"/>
                <w:szCs w:val="20"/>
              </w:rPr>
              <w:t>Performance Indicator</w:t>
            </w:r>
          </w:p>
        </w:tc>
        <w:tc>
          <w:tcPr>
            <w:tcW w:w="1469" w:type="dxa"/>
            <w:tcBorders>
              <w:top w:val="single" w:sz="4" w:space="0" w:color="auto"/>
              <w:left w:val="single" w:sz="4" w:space="0" w:color="auto"/>
              <w:bottom w:val="single" w:sz="4" w:space="0" w:color="auto"/>
              <w:right w:val="single" w:sz="4" w:space="0" w:color="auto"/>
            </w:tcBorders>
            <w:hideMark/>
          </w:tcPr>
          <w:p w14:paraId="58032517" w14:textId="735AED53" w:rsidR="005F2EB2" w:rsidRPr="00FA30B2" w:rsidRDefault="005F2EB2" w:rsidP="005F2EB2">
            <w:pPr>
              <w:pStyle w:val="NoSpacing"/>
              <w:rPr>
                <w:rFonts w:ascii="Arial" w:hAnsi="Arial" w:cs="Arial"/>
                <w:b/>
              </w:rPr>
            </w:pPr>
            <w:r w:rsidRPr="0047796E">
              <w:rPr>
                <w:rFonts w:ascii="Arial" w:hAnsi="Arial" w:cs="Arial"/>
                <w:b/>
                <w:sz w:val="20"/>
                <w:szCs w:val="20"/>
              </w:rPr>
              <w:t>Frequency</w:t>
            </w:r>
          </w:p>
        </w:tc>
        <w:tc>
          <w:tcPr>
            <w:tcW w:w="1468" w:type="dxa"/>
            <w:tcBorders>
              <w:top w:val="single" w:sz="4" w:space="0" w:color="auto"/>
              <w:left w:val="single" w:sz="4" w:space="0" w:color="auto"/>
              <w:bottom w:val="single" w:sz="4" w:space="0" w:color="auto"/>
              <w:right w:val="single" w:sz="4" w:space="0" w:color="auto"/>
            </w:tcBorders>
          </w:tcPr>
          <w:p w14:paraId="0BB2CFEE" w14:textId="3ED6EB15" w:rsidR="005F2EB2" w:rsidRPr="00FA30B2" w:rsidRDefault="005F2EB2" w:rsidP="005F2EB2">
            <w:pPr>
              <w:pStyle w:val="NoSpacing"/>
              <w:rPr>
                <w:rFonts w:ascii="Arial" w:hAnsi="Arial" w:cs="Arial"/>
                <w:b/>
              </w:rPr>
            </w:pPr>
            <w:r w:rsidRPr="0047796E">
              <w:rPr>
                <w:rFonts w:ascii="Arial" w:hAnsi="Arial" w:cs="Arial"/>
                <w:b/>
                <w:sz w:val="20"/>
                <w:szCs w:val="20"/>
              </w:rPr>
              <w:t xml:space="preserve">Directorate </w:t>
            </w:r>
          </w:p>
        </w:tc>
        <w:tc>
          <w:tcPr>
            <w:tcW w:w="881" w:type="dxa"/>
            <w:tcBorders>
              <w:top w:val="single" w:sz="4" w:space="0" w:color="auto"/>
              <w:left w:val="single" w:sz="4" w:space="0" w:color="auto"/>
              <w:bottom w:val="single" w:sz="4" w:space="0" w:color="auto"/>
              <w:right w:val="single" w:sz="4" w:space="0" w:color="auto"/>
            </w:tcBorders>
          </w:tcPr>
          <w:p w14:paraId="65DF9881" w14:textId="24F24232" w:rsidR="005F2EB2" w:rsidRDefault="005F2EB2" w:rsidP="005F2EB2">
            <w:pPr>
              <w:pStyle w:val="NoSpacing"/>
              <w:rPr>
                <w:rFonts w:ascii="Arial" w:hAnsi="Arial" w:cs="Arial"/>
                <w:b/>
              </w:rPr>
            </w:pPr>
            <w:r w:rsidRPr="0047796E">
              <w:rPr>
                <w:rFonts w:ascii="Arial" w:hAnsi="Arial" w:cs="Arial"/>
                <w:b/>
                <w:sz w:val="20"/>
                <w:szCs w:val="20"/>
              </w:rPr>
              <w:t>Good is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DEA6BCC" w14:textId="0F48DADE" w:rsidR="005F2EB2" w:rsidRPr="00FA30B2" w:rsidRDefault="005F2EB2" w:rsidP="005F2EB2">
            <w:pPr>
              <w:pStyle w:val="NoSpacing"/>
              <w:rPr>
                <w:rFonts w:ascii="Arial" w:hAnsi="Arial" w:cs="Arial"/>
                <w:b/>
              </w:rPr>
            </w:pPr>
            <w:r w:rsidRPr="00300F36">
              <w:rPr>
                <w:rFonts w:ascii="Arial" w:hAnsi="Arial" w:cs="Arial"/>
                <w:b/>
                <w:sz w:val="20"/>
                <w:szCs w:val="20"/>
              </w:rPr>
              <w:t>2019/20 Outturn</w:t>
            </w:r>
          </w:p>
        </w:tc>
        <w:tc>
          <w:tcPr>
            <w:tcW w:w="1276" w:type="dxa"/>
            <w:tcBorders>
              <w:top w:val="single" w:sz="4" w:space="0" w:color="auto"/>
              <w:left w:val="single" w:sz="4" w:space="0" w:color="auto"/>
              <w:bottom w:val="single" w:sz="4" w:space="0" w:color="auto"/>
              <w:right w:val="single" w:sz="4" w:space="0" w:color="auto"/>
            </w:tcBorders>
          </w:tcPr>
          <w:p w14:paraId="35365045" w14:textId="4046366E" w:rsidR="005F2EB2" w:rsidRPr="00FA30B2" w:rsidRDefault="005F2EB2" w:rsidP="005F2EB2">
            <w:pPr>
              <w:pStyle w:val="NoSpacing"/>
              <w:rPr>
                <w:rFonts w:ascii="Arial" w:hAnsi="Arial" w:cs="Arial"/>
                <w:b/>
              </w:rPr>
            </w:pPr>
            <w:r w:rsidRPr="0047796E">
              <w:rPr>
                <w:rFonts w:ascii="Arial" w:hAnsi="Arial" w:cs="Arial"/>
                <w:b/>
                <w:sz w:val="20"/>
                <w:szCs w:val="20"/>
              </w:rPr>
              <w:t xml:space="preserve">2020/21 Quarter 1 </w:t>
            </w:r>
            <w:r w:rsidRPr="00300F36">
              <w:rPr>
                <w:rFonts w:ascii="Arial" w:hAnsi="Arial" w:cs="Arial"/>
                <w:b/>
                <w:sz w:val="18"/>
                <w:szCs w:val="18"/>
              </w:rPr>
              <w:t>(April –June)</w:t>
            </w:r>
          </w:p>
        </w:tc>
        <w:tc>
          <w:tcPr>
            <w:tcW w:w="1417" w:type="dxa"/>
            <w:tcBorders>
              <w:top w:val="single" w:sz="4" w:space="0" w:color="auto"/>
              <w:left w:val="single" w:sz="4" w:space="0" w:color="auto"/>
              <w:bottom w:val="single" w:sz="4" w:space="0" w:color="auto"/>
              <w:right w:val="single" w:sz="4" w:space="0" w:color="auto"/>
            </w:tcBorders>
          </w:tcPr>
          <w:p w14:paraId="7FB234C3" w14:textId="204147B5" w:rsidR="005F2EB2" w:rsidRPr="00FA30B2" w:rsidRDefault="005F2EB2" w:rsidP="005F2EB2">
            <w:pPr>
              <w:pStyle w:val="NoSpacing"/>
              <w:rPr>
                <w:rFonts w:ascii="Arial" w:hAnsi="Arial" w:cs="Arial"/>
                <w:b/>
              </w:rPr>
            </w:pPr>
            <w:r w:rsidRPr="0047796E">
              <w:rPr>
                <w:rFonts w:ascii="Arial" w:hAnsi="Arial" w:cs="Arial"/>
                <w:b/>
                <w:sz w:val="20"/>
                <w:szCs w:val="20"/>
              </w:rPr>
              <w:t xml:space="preserve">Quarter 2 </w:t>
            </w:r>
            <w:r w:rsidRPr="00300F36">
              <w:rPr>
                <w:rFonts w:ascii="Arial" w:hAnsi="Arial" w:cs="Arial"/>
                <w:b/>
                <w:sz w:val="18"/>
                <w:szCs w:val="18"/>
              </w:rPr>
              <w:t>(July –September)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9F2AE7" w14:textId="66585ECD" w:rsidR="005F2EB2" w:rsidRPr="00FA30B2" w:rsidRDefault="005F2EB2" w:rsidP="005F2EB2">
            <w:pPr>
              <w:pStyle w:val="NoSpacing"/>
              <w:rPr>
                <w:rFonts w:ascii="Arial" w:hAnsi="Arial" w:cs="Arial"/>
                <w:b/>
              </w:rPr>
            </w:pPr>
            <w:r w:rsidRPr="0047796E">
              <w:rPr>
                <w:rFonts w:ascii="Arial" w:hAnsi="Arial" w:cs="Arial"/>
                <w:b/>
                <w:sz w:val="20"/>
                <w:szCs w:val="20"/>
              </w:rPr>
              <w:t xml:space="preserve">Quarter 3 </w:t>
            </w:r>
            <w:r w:rsidRPr="00300F36">
              <w:rPr>
                <w:rFonts w:ascii="Arial" w:hAnsi="Arial" w:cs="Arial"/>
                <w:b/>
                <w:sz w:val="18"/>
                <w:szCs w:val="18"/>
              </w:rPr>
              <w:t>(October - December)</w:t>
            </w:r>
          </w:p>
        </w:tc>
        <w:tc>
          <w:tcPr>
            <w:tcW w:w="1559" w:type="dxa"/>
            <w:tcBorders>
              <w:top w:val="single" w:sz="4" w:space="0" w:color="auto"/>
              <w:left w:val="single" w:sz="4" w:space="0" w:color="auto"/>
              <w:bottom w:val="single" w:sz="4" w:space="0" w:color="auto"/>
              <w:right w:val="single" w:sz="4" w:space="0" w:color="auto"/>
            </w:tcBorders>
          </w:tcPr>
          <w:p w14:paraId="5F3DC8BE" w14:textId="495FFC53" w:rsidR="005F2EB2" w:rsidRPr="005F2EB2" w:rsidRDefault="005F2EB2" w:rsidP="005F2EB2">
            <w:pPr>
              <w:pStyle w:val="NoSpacing"/>
              <w:rPr>
                <w:rFonts w:ascii="Arial" w:hAnsi="Arial" w:cs="Arial"/>
                <w:b/>
              </w:rPr>
            </w:pPr>
            <w:r w:rsidRPr="0047796E">
              <w:rPr>
                <w:rFonts w:ascii="Arial" w:hAnsi="Arial" w:cs="Arial"/>
                <w:b/>
                <w:sz w:val="20"/>
                <w:szCs w:val="20"/>
              </w:rPr>
              <w:t xml:space="preserve">Quarter 4 </w:t>
            </w:r>
            <w:r w:rsidRPr="00300F36">
              <w:rPr>
                <w:rFonts w:ascii="Arial" w:hAnsi="Arial" w:cs="Arial"/>
                <w:b/>
                <w:sz w:val="18"/>
                <w:szCs w:val="18"/>
              </w:rPr>
              <w:t>(January - March)</w:t>
            </w:r>
          </w:p>
        </w:tc>
        <w:tc>
          <w:tcPr>
            <w:tcW w:w="1559" w:type="dxa"/>
            <w:tcBorders>
              <w:top w:val="single" w:sz="4" w:space="0" w:color="auto"/>
              <w:left w:val="single" w:sz="4" w:space="0" w:color="auto"/>
              <w:bottom w:val="single" w:sz="4" w:space="0" w:color="auto"/>
              <w:right w:val="single" w:sz="4" w:space="0" w:color="auto"/>
            </w:tcBorders>
          </w:tcPr>
          <w:p w14:paraId="604AFF5B" w14:textId="5582A660" w:rsidR="005F2EB2" w:rsidRPr="00FA30B2" w:rsidRDefault="005F2EB2" w:rsidP="005F2EB2">
            <w:pPr>
              <w:pStyle w:val="NoSpacing"/>
              <w:rPr>
                <w:rFonts w:ascii="Arial" w:hAnsi="Arial" w:cs="Arial"/>
                <w:b/>
              </w:rPr>
            </w:pPr>
            <w:r w:rsidRPr="0047796E">
              <w:rPr>
                <w:rFonts w:ascii="Arial" w:hAnsi="Arial" w:cs="Arial"/>
                <w:b/>
                <w:sz w:val="20"/>
                <w:szCs w:val="20"/>
              </w:rPr>
              <w:t>2020/21 Target</w:t>
            </w:r>
          </w:p>
        </w:tc>
      </w:tr>
      <w:tr w:rsidR="000133E2" w:rsidRPr="00FA30B2" w14:paraId="6CF0295D" w14:textId="77777777" w:rsidTr="000133E2">
        <w:trPr>
          <w:trHeight w:val="611"/>
        </w:trPr>
        <w:tc>
          <w:tcPr>
            <w:tcW w:w="1910" w:type="dxa"/>
            <w:tcBorders>
              <w:top w:val="single" w:sz="4" w:space="0" w:color="auto"/>
              <w:left w:val="single" w:sz="4" w:space="0" w:color="auto"/>
              <w:bottom w:val="single" w:sz="4" w:space="0" w:color="auto"/>
              <w:right w:val="single" w:sz="4" w:space="0" w:color="auto"/>
            </w:tcBorders>
            <w:hideMark/>
          </w:tcPr>
          <w:p w14:paraId="08CD4923" w14:textId="77777777" w:rsidR="000133E2" w:rsidRPr="00BC248D" w:rsidRDefault="000133E2" w:rsidP="0030579F">
            <w:pPr>
              <w:pStyle w:val="NoSpacing"/>
              <w:spacing w:line="252" w:lineRule="auto"/>
              <w:rPr>
                <w:rFonts w:eastAsiaTheme="minorHAnsi" w:cs="Arial"/>
              </w:rPr>
            </w:pPr>
            <w:r w:rsidRPr="00BC248D">
              <w:rPr>
                <w:rFonts w:ascii="Arial" w:hAnsi="Arial" w:cs="Arial"/>
              </w:rPr>
              <w:t xml:space="preserve">Percentage of health checks undertaken of quarterly target number offered </w:t>
            </w:r>
          </w:p>
          <w:p w14:paraId="467B8BB9" w14:textId="77777777" w:rsidR="000133E2" w:rsidRPr="00BC248D" w:rsidRDefault="000133E2" w:rsidP="0030579F">
            <w:pPr>
              <w:pStyle w:val="NoSpacing"/>
              <w:rPr>
                <w:rFonts w:ascii="Arial" w:hAnsi="Arial" w:cs="Arial"/>
                <w:i/>
              </w:rPr>
            </w:pPr>
          </w:p>
        </w:tc>
        <w:tc>
          <w:tcPr>
            <w:tcW w:w="1469" w:type="dxa"/>
            <w:tcBorders>
              <w:top w:val="single" w:sz="4" w:space="0" w:color="auto"/>
              <w:left w:val="single" w:sz="4" w:space="0" w:color="auto"/>
              <w:bottom w:val="single" w:sz="4" w:space="0" w:color="auto"/>
              <w:right w:val="single" w:sz="4" w:space="0" w:color="auto"/>
            </w:tcBorders>
            <w:hideMark/>
          </w:tcPr>
          <w:p w14:paraId="0CAC010A" w14:textId="77777777" w:rsidR="000133E2" w:rsidRPr="00FA30B2" w:rsidRDefault="000133E2" w:rsidP="0030579F">
            <w:pPr>
              <w:pStyle w:val="NoSpacing"/>
              <w:rPr>
                <w:rFonts w:ascii="Arial" w:hAnsi="Arial" w:cs="Arial"/>
                <w:i/>
              </w:rPr>
            </w:pPr>
            <w:r w:rsidRPr="00FA30B2">
              <w:rPr>
                <w:rFonts w:ascii="Arial" w:hAnsi="Arial" w:cs="Arial"/>
              </w:rPr>
              <w:t>Quarterly</w:t>
            </w:r>
          </w:p>
        </w:tc>
        <w:tc>
          <w:tcPr>
            <w:tcW w:w="1468" w:type="dxa"/>
            <w:tcBorders>
              <w:top w:val="single" w:sz="4" w:space="0" w:color="auto"/>
              <w:left w:val="single" w:sz="4" w:space="0" w:color="auto"/>
              <w:bottom w:val="single" w:sz="4" w:space="0" w:color="auto"/>
              <w:right w:val="single" w:sz="4" w:space="0" w:color="auto"/>
            </w:tcBorders>
          </w:tcPr>
          <w:p w14:paraId="3DB0A563" w14:textId="77777777" w:rsidR="000133E2" w:rsidRPr="00FA30B2" w:rsidRDefault="000133E2" w:rsidP="0030579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81" w:type="dxa"/>
            <w:tcBorders>
              <w:top w:val="single" w:sz="4" w:space="0" w:color="auto"/>
              <w:left w:val="single" w:sz="4" w:space="0" w:color="auto"/>
              <w:bottom w:val="single" w:sz="4" w:space="0" w:color="auto"/>
              <w:right w:val="single" w:sz="4" w:space="0" w:color="auto"/>
            </w:tcBorders>
          </w:tcPr>
          <w:p w14:paraId="3CC5AF1E" w14:textId="77777777" w:rsidR="000133E2" w:rsidRDefault="000133E2" w:rsidP="0030579F">
            <w:pPr>
              <w:pStyle w:val="NoSpacing"/>
              <w:spacing w:line="252" w:lineRule="auto"/>
              <w:rPr>
                <w:rFonts w:ascii="Arial" w:hAnsi="Arial" w:cs="Arial"/>
              </w:rPr>
            </w:pPr>
            <w:r>
              <w:rPr>
                <w:rFonts w:ascii="Arial" w:hAnsi="Arial" w:cs="Arial"/>
              </w:rPr>
              <w:t>High</w:t>
            </w:r>
          </w:p>
        </w:tc>
        <w:tc>
          <w:tcPr>
            <w:tcW w:w="1218" w:type="dxa"/>
            <w:tcBorders>
              <w:top w:val="single" w:sz="4" w:space="0" w:color="auto"/>
              <w:left w:val="single" w:sz="4" w:space="0" w:color="auto"/>
              <w:bottom w:val="single" w:sz="4" w:space="0" w:color="auto"/>
              <w:right w:val="single" w:sz="4" w:space="0" w:color="auto"/>
            </w:tcBorders>
            <w:shd w:val="clear" w:color="auto" w:fill="FF0000"/>
          </w:tcPr>
          <w:p w14:paraId="1364265B" w14:textId="77777777" w:rsidR="000133E2" w:rsidRPr="00F17BA9" w:rsidRDefault="000133E2" w:rsidP="0030579F">
            <w:pPr>
              <w:pStyle w:val="NoSpacing"/>
              <w:spacing w:line="252" w:lineRule="auto"/>
              <w:rPr>
                <w:rFonts w:ascii="Arial" w:hAnsi="Arial" w:cs="Arial"/>
              </w:rPr>
            </w:pPr>
            <w:r w:rsidRPr="00F17BA9">
              <w:rPr>
                <w:rFonts w:ascii="Arial" w:hAnsi="Arial" w:cs="Arial"/>
              </w:rPr>
              <w:t>59.7% Uptake (Full year position 42,009 of 70,410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420285C" w14:textId="77777777" w:rsidR="000133E2" w:rsidRPr="00007585" w:rsidRDefault="000133E2" w:rsidP="0030579F">
            <w:pPr>
              <w:pStyle w:val="NoSpacing"/>
              <w:spacing w:line="252" w:lineRule="auto"/>
              <w:rPr>
                <w:rFonts w:ascii="Arial" w:hAnsi="Arial" w:cs="Arial"/>
              </w:rPr>
            </w:pPr>
            <w:r>
              <w:rPr>
                <w:rFonts w:ascii="Arial" w:hAnsi="Arial" w:cs="Arial"/>
              </w:rPr>
              <w:t>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906D8" w14:textId="77777777" w:rsidR="000133E2" w:rsidRPr="00007585" w:rsidRDefault="000133E2" w:rsidP="0030579F">
            <w:pPr>
              <w:pStyle w:val="NoSpacing"/>
              <w:spacing w:line="252" w:lineRule="auto"/>
              <w:rPr>
                <w:rFonts w:ascii="Arial" w:hAnsi="Arial" w:cs="Arial"/>
              </w:rPr>
            </w:pPr>
            <w:r>
              <w:rPr>
                <w:rFonts w:ascii="Arial" w:hAnsi="Arial" w:cs="Arial"/>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879DD" w14:textId="77777777" w:rsidR="000133E2" w:rsidRPr="00007585" w:rsidRDefault="000133E2" w:rsidP="0030579F">
            <w:pPr>
              <w:pStyle w:val="NoSpacing"/>
              <w:spacing w:line="252" w:lineRule="auto"/>
              <w:rPr>
                <w:rFonts w:ascii="Arial" w:hAnsi="Arial" w:cs="Arial"/>
              </w:rPr>
            </w:pPr>
            <w:r>
              <w:rPr>
                <w:rFonts w:ascii="Arial" w:hAnsi="Arial" w:cs="Arial"/>
              </w:rPr>
              <w:t>N/A</w:t>
            </w:r>
          </w:p>
        </w:tc>
        <w:tc>
          <w:tcPr>
            <w:tcW w:w="1559" w:type="dxa"/>
            <w:tcBorders>
              <w:top w:val="single" w:sz="4" w:space="0" w:color="auto"/>
              <w:left w:val="single" w:sz="4" w:space="0" w:color="auto"/>
              <w:bottom w:val="single" w:sz="4" w:space="0" w:color="auto"/>
              <w:right w:val="single" w:sz="4" w:space="0" w:color="auto"/>
            </w:tcBorders>
          </w:tcPr>
          <w:p w14:paraId="729030F4" w14:textId="2D3BD2FC" w:rsidR="000133E2" w:rsidRPr="00B410C4" w:rsidRDefault="005F2EB2" w:rsidP="0030579F">
            <w:pPr>
              <w:pStyle w:val="NoSpacing"/>
              <w:rPr>
                <w:rFonts w:ascii="Arial" w:hAnsi="Arial" w:cs="Arial"/>
              </w:rPr>
            </w:pPr>
            <w:r>
              <w:rPr>
                <w:rFonts w:ascii="Arial" w:hAnsi="Arial" w:cs="Arial"/>
              </w:rPr>
              <w:t>N/A</w:t>
            </w:r>
          </w:p>
        </w:tc>
        <w:tc>
          <w:tcPr>
            <w:tcW w:w="1559" w:type="dxa"/>
            <w:tcBorders>
              <w:top w:val="single" w:sz="4" w:space="0" w:color="auto"/>
              <w:left w:val="single" w:sz="4" w:space="0" w:color="auto"/>
              <w:bottom w:val="single" w:sz="4" w:space="0" w:color="auto"/>
              <w:right w:val="single" w:sz="4" w:space="0" w:color="auto"/>
            </w:tcBorders>
          </w:tcPr>
          <w:p w14:paraId="3877F49E" w14:textId="5C1A287D" w:rsidR="000133E2" w:rsidRPr="00B410C4" w:rsidRDefault="000133E2" w:rsidP="00122FB0">
            <w:pPr>
              <w:pStyle w:val="NoSpacing"/>
              <w:jc w:val="center"/>
              <w:rPr>
                <w:rFonts w:ascii="Arial" w:hAnsi="Arial" w:cs="Arial"/>
              </w:rPr>
            </w:pPr>
            <w:r w:rsidRPr="00B410C4">
              <w:rPr>
                <w:rFonts w:ascii="Arial" w:hAnsi="Arial" w:cs="Arial"/>
              </w:rPr>
              <w:t>75%</w:t>
            </w:r>
          </w:p>
        </w:tc>
      </w:tr>
      <w:tr w:rsidR="000133E2" w:rsidRPr="00FA30B2" w14:paraId="4DC29B56" w14:textId="77777777" w:rsidTr="000133E2">
        <w:trPr>
          <w:trHeight w:val="769"/>
        </w:trPr>
        <w:tc>
          <w:tcPr>
            <w:tcW w:w="1910" w:type="dxa"/>
            <w:tcBorders>
              <w:top w:val="single" w:sz="4" w:space="0" w:color="auto"/>
              <w:left w:val="single" w:sz="4" w:space="0" w:color="auto"/>
              <w:bottom w:val="single" w:sz="4" w:space="0" w:color="auto"/>
              <w:right w:val="single" w:sz="4" w:space="0" w:color="auto"/>
            </w:tcBorders>
          </w:tcPr>
          <w:p w14:paraId="546FB810" w14:textId="77777777" w:rsidR="000133E2" w:rsidRPr="00BC248D" w:rsidRDefault="000133E2" w:rsidP="0030579F">
            <w:pPr>
              <w:pStyle w:val="NoSpacing"/>
              <w:spacing w:line="252" w:lineRule="auto"/>
              <w:rPr>
                <w:rFonts w:ascii="Arial" w:hAnsi="Arial" w:cs="Arial"/>
              </w:rPr>
            </w:pPr>
            <w:r w:rsidRPr="00BC248D">
              <w:rPr>
                <w:rFonts w:ascii="Arial" w:hAnsi="Arial" w:cs="Arial"/>
              </w:rPr>
              <w:t>Percentage of health checks undertaken of all offered (year to date)</w:t>
            </w:r>
          </w:p>
        </w:tc>
        <w:tc>
          <w:tcPr>
            <w:tcW w:w="1469" w:type="dxa"/>
            <w:tcBorders>
              <w:top w:val="single" w:sz="4" w:space="0" w:color="auto"/>
              <w:left w:val="single" w:sz="4" w:space="0" w:color="auto"/>
              <w:bottom w:val="single" w:sz="4" w:space="0" w:color="auto"/>
              <w:right w:val="single" w:sz="4" w:space="0" w:color="auto"/>
            </w:tcBorders>
          </w:tcPr>
          <w:p w14:paraId="5CF53193" w14:textId="77777777" w:rsidR="000133E2" w:rsidRPr="00FA30B2" w:rsidRDefault="000133E2" w:rsidP="0030579F">
            <w:pPr>
              <w:pStyle w:val="NoSpacing"/>
              <w:rPr>
                <w:rFonts w:ascii="Arial" w:hAnsi="Arial" w:cs="Arial"/>
              </w:rPr>
            </w:pPr>
            <w:r w:rsidRPr="00FA30B2">
              <w:rPr>
                <w:rFonts w:ascii="Arial" w:hAnsi="Arial" w:cs="Arial"/>
              </w:rPr>
              <w:t>Quarterly</w:t>
            </w:r>
          </w:p>
        </w:tc>
        <w:tc>
          <w:tcPr>
            <w:tcW w:w="1468" w:type="dxa"/>
            <w:tcBorders>
              <w:top w:val="single" w:sz="4" w:space="0" w:color="auto"/>
              <w:left w:val="single" w:sz="4" w:space="0" w:color="auto"/>
              <w:bottom w:val="single" w:sz="4" w:space="0" w:color="auto"/>
              <w:right w:val="single" w:sz="4" w:space="0" w:color="auto"/>
            </w:tcBorders>
          </w:tcPr>
          <w:p w14:paraId="457BC698" w14:textId="77777777" w:rsidR="000133E2" w:rsidRPr="00FA30B2" w:rsidRDefault="000133E2" w:rsidP="0030579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81" w:type="dxa"/>
            <w:tcBorders>
              <w:top w:val="single" w:sz="4" w:space="0" w:color="auto"/>
              <w:left w:val="single" w:sz="4" w:space="0" w:color="auto"/>
              <w:bottom w:val="single" w:sz="4" w:space="0" w:color="auto"/>
              <w:right w:val="single" w:sz="4" w:space="0" w:color="auto"/>
            </w:tcBorders>
          </w:tcPr>
          <w:p w14:paraId="387E882A" w14:textId="77777777" w:rsidR="000133E2" w:rsidRDefault="000133E2" w:rsidP="0030579F">
            <w:pPr>
              <w:pStyle w:val="NoSpacing"/>
              <w:spacing w:line="252" w:lineRule="auto"/>
              <w:rPr>
                <w:rFonts w:ascii="Arial" w:hAnsi="Arial" w:cs="Arial"/>
              </w:rPr>
            </w:pPr>
            <w:r>
              <w:rPr>
                <w:rFonts w:ascii="Arial" w:hAnsi="Arial" w:cs="Arial"/>
              </w:rPr>
              <w:t>High</w:t>
            </w:r>
          </w:p>
        </w:tc>
        <w:tc>
          <w:tcPr>
            <w:tcW w:w="1218" w:type="dxa"/>
            <w:tcBorders>
              <w:top w:val="single" w:sz="4" w:space="0" w:color="auto"/>
              <w:left w:val="single" w:sz="4" w:space="0" w:color="auto"/>
              <w:bottom w:val="single" w:sz="4" w:space="0" w:color="auto"/>
              <w:right w:val="single" w:sz="4" w:space="0" w:color="auto"/>
            </w:tcBorders>
            <w:shd w:val="clear" w:color="auto" w:fill="FF0000"/>
          </w:tcPr>
          <w:p w14:paraId="1AC8BD00" w14:textId="77777777" w:rsidR="000133E2" w:rsidRPr="00F17BA9" w:rsidRDefault="000133E2" w:rsidP="0030579F">
            <w:pPr>
              <w:pStyle w:val="NoSpacing"/>
              <w:spacing w:line="252" w:lineRule="auto"/>
              <w:rPr>
                <w:rFonts w:ascii="Arial" w:hAnsi="Arial" w:cs="Arial"/>
              </w:rPr>
            </w:pPr>
            <w:r w:rsidRPr="00F17BA9">
              <w:rPr>
                <w:rFonts w:ascii="Arial" w:hAnsi="Arial" w:cs="Arial"/>
              </w:rPr>
              <w:t>37.0% Uptake (42,009 of 113,617)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075E80" w14:textId="77777777" w:rsidR="000133E2" w:rsidRPr="009E6494" w:rsidRDefault="000133E2" w:rsidP="0030579F">
            <w:pPr>
              <w:pStyle w:val="NoSpacing"/>
              <w:spacing w:line="252" w:lineRule="auto"/>
              <w:rPr>
                <w:rFonts w:ascii="Arial" w:hAnsi="Arial" w:cs="Arial"/>
                <w:color w:val="FFFFFF" w:themeColor="background1"/>
              </w:rPr>
            </w:pPr>
            <w:r w:rsidRPr="00763EAC">
              <w:rPr>
                <w:rFonts w:ascii="Arial" w:hAnsi="Arial" w:cs="Arial"/>
              </w:rPr>
              <w:t>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C12281" w14:textId="77777777" w:rsidR="000133E2" w:rsidRPr="009E6494" w:rsidRDefault="000133E2" w:rsidP="0030579F">
            <w:pPr>
              <w:pStyle w:val="NoSpacing"/>
              <w:spacing w:line="252" w:lineRule="auto"/>
              <w:rPr>
                <w:rFonts w:ascii="Arial" w:hAnsi="Arial" w:cs="Arial"/>
                <w:color w:val="FFFFFF" w:themeColor="background1"/>
              </w:rPr>
            </w:pPr>
            <w:r w:rsidRPr="00763EAC">
              <w:rPr>
                <w:rFonts w:ascii="Arial" w:hAnsi="Arial" w:cs="Arial"/>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F5565B5" w14:textId="77777777" w:rsidR="000133E2" w:rsidRPr="009E6494" w:rsidRDefault="000133E2" w:rsidP="0030579F">
            <w:pPr>
              <w:pStyle w:val="NoSpacing"/>
              <w:spacing w:line="252" w:lineRule="auto"/>
              <w:rPr>
                <w:rFonts w:ascii="Arial" w:hAnsi="Arial" w:cs="Arial"/>
                <w:color w:val="FFFFFF" w:themeColor="background1"/>
              </w:rPr>
            </w:pPr>
            <w:r w:rsidRPr="00763EAC">
              <w:rPr>
                <w:rFonts w:ascii="Arial" w:hAnsi="Arial" w:cs="Arial"/>
              </w:rPr>
              <w:t>N/A</w:t>
            </w:r>
          </w:p>
        </w:tc>
        <w:tc>
          <w:tcPr>
            <w:tcW w:w="1559" w:type="dxa"/>
            <w:tcBorders>
              <w:top w:val="single" w:sz="4" w:space="0" w:color="auto"/>
              <w:left w:val="single" w:sz="4" w:space="0" w:color="auto"/>
              <w:bottom w:val="single" w:sz="4" w:space="0" w:color="auto"/>
              <w:right w:val="single" w:sz="4" w:space="0" w:color="auto"/>
            </w:tcBorders>
          </w:tcPr>
          <w:p w14:paraId="0BAA8D72" w14:textId="7836EDDD" w:rsidR="000133E2" w:rsidRPr="00B410C4" w:rsidRDefault="005F2EB2" w:rsidP="0030579F">
            <w:pPr>
              <w:pStyle w:val="NoSpacing"/>
              <w:rPr>
                <w:rFonts w:ascii="Arial" w:hAnsi="Arial" w:cs="Arial"/>
              </w:rPr>
            </w:pPr>
            <w:r>
              <w:rPr>
                <w:rFonts w:ascii="Arial" w:hAnsi="Arial" w:cs="Arial"/>
              </w:rPr>
              <w:t>N/A</w:t>
            </w:r>
          </w:p>
        </w:tc>
        <w:tc>
          <w:tcPr>
            <w:tcW w:w="1559" w:type="dxa"/>
            <w:tcBorders>
              <w:top w:val="single" w:sz="4" w:space="0" w:color="auto"/>
              <w:left w:val="single" w:sz="4" w:space="0" w:color="auto"/>
              <w:bottom w:val="single" w:sz="4" w:space="0" w:color="auto"/>
              <w:right w:val="single" w:sz="4" w:space="0" w:color="auto"/>
            </w:tcBorders>
          </w:tcPr>
          <w:p w14:paraId="0A2BCF76" w14:textId="20B2EFE9" w:rsidR="000133E2" w:rsidRPr="00B410C4" w:rsidRDefault="000133E2" w:rsidP="00122FB0">
            <w:pPr>
              <w:pStyle w:val="NoSpacing"/>
              <w:jc w:val="center"/>
              <w:rPr>
                <w:rFonts w:ascii="Arial" w:hAnsi="Arial" w:cs="Arial"/>
              </w:rPr>
            </w:pPr>
            <w:r w:rsidRPr="00B410C4">
              <w:rPr>
                <w:rFonts w:ascii="Arial" w:hAnsi="Arial" w:cs="Arial"/>
              </w:rPr>
              <w:t>58% uptake of all offered Health checks</w:t>
            </w:r>
          </w:p>
        </w:tc>
      </w:tr>
    </w:tbl>
    <w:p w14:paraId="3DCE184C" w14:textId="77777777" w:rsidR="0030579F" w:rsidRDefault="0030579F" w:rsidP="0030579F">
      <w:pPr>
        <w:rPr>
          <w:rFonts w:cs="Arial"/>
          <w:b/>
          <w:sz w:val="22"/>
          <w:szCs w:val="22"/>
        </w:rPr>
      </w:pPr>
    </w:p>
    <w:p w14:paraId="2553F88D" w14:textId="77777777" w:rsidR="00340960" w:rsidRPr="007D41F4" w:rsidRDefault="00340960" w:rsidP="00340960">
      <w:pPr>
        <w:rPr>
          <w:iCs/>
          <w:color w:val="auto"/>
          <w:sz w:val="22"/>
          <w:szCs w:val="22"/>
        </w:rPr>
      </w:pPr>
      <w:r w:rsidRPr="00BF590F">
        <w:rPr>
          <w:rFonts w:cs="Arial"/>
          <w:b/>
          <w:color w:val="auto"/>
          <w:sz w:val="22"/>
          <w:szCs w:val="22"/>
        </w:rPr>
        <w:t>Health Checks</w:t>
      </w:r>
      <w:r w:rsidRPr="005F2EB2">
        <w:rPr>
          <w:rFonts w:cs="Arial"/>
          <w:color w:val="FF0000"/>
          <w:sz w:val="22"/>
          <w:szCs w:val="22"/>
        </w:rPr>
        <w:t xml:space="preserve">. </w:t>
      </w:r>
      <w:r w:rsidRPr="005F2EB2">
        <w:rPr>
          <w:iCs/>
          <w:color w:val="FF0000"/>
          <w:sz w:val="22"/>
          <w:szCs w:val="22"/>
        </w:rPr>
        <w:t xml:space="preserve"> </w:t>
      </w:r>
      <w:r w:rsidRPr="007D41F4">
        <w:rPr>
          <w:iCs/>
          <w:color w:val="auto"/>
          <w:sz w:val="22"/>
          <w:szCs w:val="22"/>
        </w:rPr>
        <w:t xml:space="preserve">Delivery is mainly through GP practices in primary care, with a small amount of provision from other commissioned services in workplaces and in community settings.  </w:t>
      </w:r>
    </w:p>
    <w:p w14:paraId="21730487" w14:textId="77777777" w:rsidR="00340960" w:rsidRDefault="00340960" w:rsidP="00340960">
      <w:pPr>
        <w:rPr>
          <w:color w:val="auto"/>
          <w:sz w:val="22"/>
          <w:szCs w:val="22"/>
        </w:rPr>
      </w:pPr>
      <w:r w:rsidRPr="007D41F4">
        <w:rPr>
          <w:iCs/>
          <w:color w:val="auto"/>
          <w:sz w:val="22"/>
          <w:szCs w:val="22"/>
        </w:rPr>
        <w:t xml:space="preserve">The health check has to be delivered in a face to face situation, and as such has been adversely affected by the pandemic.  GP surgeries generally prioritised other activity and it became very difficult to deliver health checks in a </w:t>
      </w:r>
      <w:r>
        <w:rPr>
          <w:iCs/>
          <w:color w:val="auto"/>
          <w:sz w:val="22"/>
          <w:szCs w:val="22"/>
        </w:rPr>
        <w:t>pandemic</w:t>
      </w:r>
      <w:r w:rsidRPr="007D41F4">
        <w:rPr>
          <w:iCs/>
          <w:color w:val="auto"/>
          <w:sz w:val="22"/>
          <w:szCs w:val="22"/>
        </w:rPr>
        <w:t>-safe way. Similarly, the general population tended to avoid GP surgeries for all but essential visits.</w:t>
      </w:r>
      <w:r w:rsidRPr="007D41F4">
        <w:rPr>
          <w:color w:val="auto"/>
          <w:sz w:val="22"/>
          <w:szCs w:val="22"/>
        </w:rPr>
        <w:t xml:space="preserve"> </w:t>
      </w:r>
    </w:p>
    <w:p w14:paraId="54817793" w14:textId="5492F943" w:rsidR="00340960" w:rsidRPr="007D41F4" w:rsidRDefault="00340960" w:rsidP="00340960">
      <w:pPr>
        <w:rPr>
          <w:rFonts w:ascii="Calibri" w:eastAsiaTheme="minorHAnsi" w:hAnsi="Calibri" w:cs="Calibri"/>
          <w:color w:val="auto"/>
          <w:sz w:val="22"/>
          <w:szCs w:val="22"/>
        </w:rPr>
      </w:pPr>
      <w:r w:rsidRPr="007D41F4">
        <w:rPr>
          <w:color w:val="auto"/>
          <w:sz w:val="22"/>
          <w:szCs w:val="22"/>
        </w:rPr>
        <w:t>The national picture is that whilst the programme was suspended, P</w:t>
      </w:r>
      <w:r w:rsidR="00F50B4A">
        <w:rPr>
          <w:color w:val="auto"/>
          <w:sz w:val="22"/>
          <w:szCs w:val="22"/>
        </w:rPr>
        <w:t xml:space="preserve">ublic </w:t>
      </w:r>
      <w:r w:rsidRPr="007D41F4">
        <w:rPr>
          <w:color w:val="auto"/>
          <w:sz w:val="22"/>
          <w:szCs w:val="22"/>
        </w:rPr>
        <w:t>H</w:t>
      </w:r>
      <w:r w:rsidR="00F50B4A">
        <w:rPr>
          <w:color w:val="auto"/>
          <w:sz w:val="22"/>
          <w:szCs w:val="22"/>
        </w:rPr>
        <w:t xml:space="preserve">ealth </w:t>
      </w:r>
      <w:r w:rsidRPr="007D41F4">
        <w:rPr>
          <w:color w:val="auto"/>
          <w:sz w:val="22"/>
          <w:szCs w:val="22"/>
        </w:rPr>
        <w:t>E</w:t>
      </w:r>
      <w:r w:rsidR="00F50B4A">
        <w:rPr>
          <w:color w:val="auto"/>
          <w:sz w:val="22"/>
          <w:szCs w:val="22"/>
        </w:rPr>
        <w:t>ngland</w:t>
      </w:r>
      <w:r w:rsidRPr="007D41F4">
        <w:rPr>
          <w:color w:val="auto"/>
          <w:sz w:val="22"/>
          <w:szCs w:val="22"/>
        </w:rPr>
        <w:t xml:space="preserve"> directed </w:t>
      </w:r>
      <w:r w:rsidR="00F50B4A">
        <w:rPr>
          <w:color w:val="auto"/>
          <w:sz w:val="22"/>
          <w:szCs w:val="22"/>
        </w:rPr>
        <w:t xml:space="preserve">that </w:t>
      </w:r>
      <w:r w:rsidRPr="007D41F4">
        <w:rPr>
          <w:color w:val="auto"/>
          <w:sz w:val="22"/>
          <w:szCs w:val="22"/>
        </w:rPr>
        <w:t>no results were</w:t>
      </w:r>
      <w:r>
        <w:rPr>
          <w:color w:val="auto"/>
          <w:sz w:val="22"/>
          <w:szCs w:val="22"/>
        </w:rPr>
        <w:t xml:space="preserve"> </w:t>
      </w:r>
      <w:r w:rsidRPr="007D41F4">
        <w:rPr>
          <w:color w:val="auto"/>
          <w:sz w:val="22"/>
          <w:szCs w:val="22"/>
        </w:rPr>
        <w:t xml:space="preserve">to be reported for 2020/2021. The </w:t>
      </w:r>
      <w:proofErr w:type="spellStart"/>
      <w:r w:rsidRPr="007D41F4">
        <w:rPr>
          <w:color w:val="auto"/>
          <w:sz w:val="22"/>
          <w:szCs w:val="22"/>
        </w:rPr>
        <w:t>C</w:t>
      </w:r>
      <w:r>
        <w:rPr>
          <w:color w:val="auto"/>
          <w:sz w:val="22"/>
          <w:szCs w:val="22"/>
        </w:rPr>
        <w:t>ovid</w:t>
      </w:r>
      <w:proofErr w:type="spellEnd"/>
      <w:r w:rsidRPr="007D41F4">
        <w:rPr>
          <w:color w:val="auto"/>
          <w:sz w:val="22"/>
          <w:szCs w:val="22"/>
        </w:rPr>
        <w:t xml:space="preserve"> Recovery Strategy highlights the NHS Health Check’s clear role in delivering preventative and personalised solutions to ill-health, and empowering individuals to live healthier and more active lives. Discussions are ongoing with all commissioned providers to restart the NHS Health Check programme in early 2021/2022. </w:t>
      </w:r>
    </w:p>
    <w:p w14:paraId="43D9B623" w14:textId="62260BE8" w:rsidR="00E4227B" w:rsidRDefault="00E4227B" w:rsidP="0030579F">
      <w:pPr>
        <w:rPr>
          <w:iCs/>
          <w:color w:val="auto"/>
          <w:sz w:val="22"/>
          <w:szCs w:val="22"/>
        </w:rPr>
      </w:pPr>
    </w:p>
    <w:p w14:paraId="514F50C1" w14:textId="6AD9D81F" w:rsidR="00A27737" w:rsidRDefault="00A27737" w:rsidP="0030579F">
      <w:pPr>
        <w:rPr>
          <w:iCs/>
          <w:color w:val="auto"/>
          <w:sz w:val="22"/>
          <w:szCs w:val="22"/>
        </w:rPr>
      </w:pPr>
    </w:p>
    <w:p w14:paraId="42451F90" w14:textId="70D8AC5A" w:rsidR="00A27737" w:rsidRDefault="00A27737" w:rsidP="0030579F">
      <w:pPr>
        <w:rPr>
          <w:iCs/>
          <w:color w:val="auto"/>
          <w:sz w:val="22"/>
          <w:szCs w:val="22"/>
        </w:rPr>
      </w:pPr>
    </w:p>
    <w:p w14:paraId="4358FF1E" w14:textId="483FF6A4" w:rsidR="00A27737" w:rsidRDefault="00A27737" w:rsidP="0030579F">
      <w:pPr>
        <w:rPr>
          <w:iCs/>
          <w:color w:val="auto"/>
          <w:sz w:val="22"/>
          <w:szCs w:val="22"/>
        </w:rPr>
      </w:pPr>
    </w:p>
    <w:p w14:paraId="19C30958" w14:textId="77777777" w:rsidR="00A27737" w:rsidRPr="007846EA" w:rsidRDefault="00A27737" w:rsidP="0030579F">
      <w:pPr>
        <w:rPr>
          <w:iCs/>
          <w:color w:val="auto"/>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850"/>
        <w:gridCol w:w="1276"/>
        <w:gridCol w:w="1276"/>
        <w:gridCol w:w="1417"/>
        <w:gridCol w:w="1418"/>
        <w:gridCol w:w="1559"/>
        <w:gridCol w:w="1559"/>
      </w:tblGrid>
      <w:tr w:rsidR="005F2EB2" w:rsidRPr="00FA30B2" w14:paraId="69DA2BA1" w14:textId="77777777" w:rsidTr="00E52747">
        <w:trPr>
          <w:trHeight w:val="579"/>
        </w:trPr>
        <w:tc>
          <w:tcPr>
            <w:tcW w:w="1843" w:type="dxa"/>
            <w:tcBorders>
              <w:top w:val="single" w:sz="4" w:space="0" w:color="auto"/>
              <w:left w:val="single" w:sz="4" w:space="0" w:color="auto"/>
              <w:bottom w:val="single" w:sz="4" w:space="0" w:color="auto"/>
              <w:right w:val="single" w:sz="4" w:space="0" w:color="auto"/>
            </w:tcBorders>
          </w:tcPr>
          <w:p w14:paraId="4983C44B" w14:textId="5ACC34A6" w:rsidR="005F2EB2" w:rsidRPr="00FA30B2" w:rsidRDefault="005F2EB2" w:rsidP="005F2EB2">
            <w:pPr>
              <w:pStyle w:val="NoSpacing"/>
              <w:rPr>
                <w:rFonts w:ascii="Arial" w:hAnsi="Arial" w:cs="Arial"/>
                <w:b/>
              </w:rPr>
            </w:pPr>
            <w:r w:rsidRPr="0047796E">
              <w:rPr>
                <w:rFonts w:ascii="Arial" w:hAnsi="Arial" w:cs="Arial"/>
                <w:b/>
                <w:sz w:val="20"/>
                <w:szCs w:val="20"/>
              </w:rPr>
              <w:lastRenderedPageBreak/>
              <w:t>Performance Indicator</w:t>
            </w:r>
          </w:p>
        </w:tc>
        <w:tc>
          <w:tcPr>
            <w:tcW w:w="1418" w:type="dxa"/>
            <w:tcBorders>
              <w:top w:val="single" w:sz="4" w:space="0" w:color="auto"/>
              <w:left w:val="single" w:sz="4" w:space="0" w:color="auto"/>
              <w:bottom w:val="single" w:sz="4" w:space="0" w:color="auto"/>
              <w:right w:val="single" w:sz="4" w:space="0" w:color="auto"/>
            </w:tcBorders>
          </w:tcPr>
          <w:p w14:paraId="5F0E4457" w14:textId="6EDA3C6F" w:rsidR="005F2EB2" w:rsidRPr="00FA30B2" w:rsidRDefault="005F2EB2" w:rsidP="005F2EB2">
            <w:pPr>
              <w:pStyle w:val="NoSpacing"/>
              <w:rPr>
                <w:rFonts w:ascii="Arial" w:hAnsi="Arial" w:cs="Arial"/>
                <w:b/>
              </w:rPr>
            </w:pPr>
            <w:r w:rsidRPr="0047796E">
              <w:rPr>
                <w:rFonts w:ascii="Arial" w:hAnsi="Arial" w:cs="Arial"/>
                <w:b/>
                <w:sz w:val="20"/>
                <w:szCs w:val="20"/>
              </w:rPr>
              <w:t>Frequency</w:t>
            </w:r>
          </w:p>
        </w:tc>
        <w:tc>
          <w:tcPr>
            <w:tcW w:w="1559" w:type="dxa"/>
            <w:tcBorders>
              <w:top w:val="single" w:sz="4" w:space="0" w:color="auto"/>
              <w:left w:val="single" w:sz="4" w:space="0" w:color="auto"/>
              <w:bottom w:val="single" w:sz="4" w:space="0" w:color="auto"/>
              <w:right w:val="single" w:sz="4" w:space="0" w:color="auto"/>
            </w:tcBorders>
          </w:tcPr>
          <w:p w14:paraId="4160A84E" w14:textId="43C7631F" w:rsidR="005F2EB2" w:rsidRPr="00FA30B2" w:rsidRDefault="005F2EB2" w:rsidP="005F2EB2">
            <w:pPr>
              <w:pStyle w:val="NoSpacing"/>
              <w:rPr>
                <w:rFonts w:ascii="Arial" w:hAnsi="Arial" w:cs="Arial"/>
                <w:b/>
              </w:rPr>
            </w:pPr>
            <w:r w:rsidRPr="0047796E">
              <w:rPr>
                <w:rFonts w:ascii="Arial" w:hAnsi="Arial" w:cs="Arial"/>
                <w:b/>
                <w:sz w:val="20"/>
                <w:szCs w:val="20"/>
              </w:rPr>
              <w:t xml:space="preserve">Directorate </w:t>
            </w:r>
          </w:p>
        </w:tc>
        <w:tc>
          <w:tcPr>
            <w:tcW w:w="850" w:type="dxa"/>
            <w:tcBorders>
              <w:top w:val="single" w:sz="4" w:space="0" w:color="auto"/>
              <w:left w:val="single" w:sz="4" w:space="0" w:color="auto"/>
              <w:bottom w:val="single" w:sz="4" w:space="0" w:color="auto"/>
              <w:right w:val="single" w:sz="4" w:space="0" w:color="auto"/>
            </w:tcBorders>
          </w:tcPr>
          <w:p w14:paraId="342584FD" w14:textId="520EF36F" w:rsidR="005F2EB2" w:rsidRDefault="005F2EB2" w:rsidP="005F2EB2">
            <w:pPr>
              <w:pStyle w:val="NoSpacing"/>
              <w:rPr>
                <w:rFonts w:ascii="Arial" w:hAnsi="Arial" w:cs="Arial"/>
                <w:b/>
              </w:rPr>
            </w:pPr>
            <w:r w:rsidRPr="0047796E">
              <w:rPr>
                <w:rFonts w:ascii="Arial" w:hAnsi="Arial" w:cs="Arial"/>
                <w:b/>
                <w:sz w:val="20"/>
                <w:szCs w:val="20"/>
              </w:rPr>
              <w:t>Good 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69BE73" w14:textId="1CBBECBF" w:rsidR="005F2EB2" w:rsidRPr="00FA30B2" w:rsidRDefault="005F2EB2" w:rsidP="005F2EB2">
            <w:pPr>
              <w:pStyle w:val="NoSpacing"/>
              <w:rPr>
                <w:rFonts w:ascii="Arial" w:hAnsi="Arial" w:cs="Arial"/>
                <w:b/>
              </w:rPr>
            </w:pPr>
            <w:r w:rsidRPr="00300F36">
              <w:rPr>
                <w:rFonts w:ascii="Arial" w:hAnsi="Arial" w:cs="Arial"/>
                <w:b/>
                <w:sz w:val="20"/>
                <w:szCs w:val="20"/>
              </w:rPr>
              <w:t>2019/20 Outturn</w:t>
            </w:r>
          </w:p>
        </w:tc>
        <w:tc>
          <w:tcPr>
            <w:tcW w:w="1276" w:type="dxa"/>
            <w:tcBorders>
              <w:top w:val="single" w:sz="4" w:space="0" w:color="auto"/>
              <w:left w:val="single" w:sz="4" w:space="0" w:color="auto"/>
              <w:bottom w:val="single" w:sz="4" w:space="0" w:color="auto"/>
              <w:right w:val="single" w:sz="4" w:space="0" w:color="auto"/>
            </w:tcBorders>
          </w:tcPr>
          <w:p w14:paraId="07BC1ACC" w14:textId="7EABC8DB" w:rsidR="005F2EB2" w:rsidRPr="00FA30B2" w:rsidRDefault="005F2EB2" w:rsidP="005F2EB2">
            <w:pPr>
              <w:pStyle w:val="NoSpacing"/>
              <w:rPr>
                <w:rFonts w:ascii="Arial" w:hAnsi="Arial" w:cs="Arial"/>
                <w:b/>
              </w:rPr>
            </w:pPr>
            <w:r w:rsidRPr="0047796E">
              <w:rPr>
                <w:rFonts w:ascii="Arial" w:hAnsi="Arial" w:cs="Arial"/>
                <w:b/>
                <w:sz w:val="20"/>
                <w:szCs w:val="20"/>
              </w:rPr>
              <w:t xml:space="preserve">2020/21 Quarter 1 </w:t>
            </w:r>
            <w:r w:rsidRPr="00300F36">
              <w:rPr>
                <w:rFonts w:ascii="Arial" w:hAnsi="Arial" w:cs="Arial"/>
                <w:b/>
                <w:sz w:val="18"/>
                <w:szCs w:val="18"/>
              </w:rPr>
              <w:t>(April –June)</w:t>
            </w:r>
          </w:p>
        </w:tc>
        <w:tc>
          <w:tcPr>
            <w:tcW w:w="1417" w:type="dxa"/>
            <w:tcBorders>
              <w:top w:val="single" w:sz="4" w:space="0" w:color="auto"/>
              <w:left w:val="single" w:sz="4" w:space="0" w:color="auto"/>
              <w:bottom w:val="single" w:sz="4" w:space="0" w:color="auto"/>
              <w:right w:val="single" w:sz="4" w:space="0" w:color="auto"/>
            </w:tcBorders>
          </w:tcPr>
          <w:p w14:paraId="565CAF7E" w14:textId="0E9508EB" w:rsidR="005F2EB2" w:rsidRPr="00FA30B2" w:rsidRDefault="005F2EB2" w:rsidP="005F2EB2">
            <w:pPr>
              <w:pStyle w:val="NoSpacing"/>
              <w:rPr>
                <w:rFonts w:ascii="Arial" w:hAnsi="Arial" w:cs="Arial"/>
                <w:b/>
              </w:rPr>
            </w:pPr>
            <w:r w:rsidRPr="0047796E">
              <w:rPr>
                <w:rFonts w:ascii="Arial" w:hAnsi="Arial" w:cs="Arial"/>
                <w:b/>
                <w:sz w:val="20"/>
                <w:szCs w:val="20"/>
              </w:rPr>
              <w:t xml:space="preserve">Quarter 2 </w:t>
            </w:r>
            <w:r w:rsidRPr="00300F36">
              <w:rPr>
                <w:rFonts w:ascii="Arial" w:hAnsi="Arial" w:cs="Arial"/>
                <w:b/>
                <w:sz w:val="18"/>
                <w:szCs w:val="18"/>
              </w:rPr>
              <w:t>(July –September)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C55522" w14:textId="0273FF49" w:rsidR="005F2EB2" w:rsidRPr="00FA30B2" w:rsidRDefault="005F2EB2" w:rsidP="005F2EB2">
            <w:pPr>
              <w:pStyle w:val="NoSpacing"/>
              <w:rPr>
                <w:rFonts w:ascii="Arial" w:hAnsi="Arial" w:cs="Arial"/>
                <w:b/>
              </w:rPr>
            </w:pPr>
            <w:r w:rsidRPr="0047796E">
              <w:rPr>
                <w:rFonts w:ascii="Arial" w:hAnsi="Arial" w:cs="Arial"/>
                <w:b/>
                <w:sz w:val="20"/>
                <w:szCs w:val="20"/>
              </w:rPr>
              <w:t xml:space="preserve">Quarter 3 </w:t>
            </w:r>
            <w:r w:rsidRPr="00300F36">
              <w:rPr>
                <w:rFonts w:ascii="Arial" w:hAnsi="Arial" w:cs="Arial"/>
                <w:b/>
                <w:sz w:val="18"/>
                <w:szCs w:val="18"/>
              </w:rPr>
              <w:t>(October - December)</w:t>
            </w:r>
          </w:p>
        </w:tc>
        <w:tc>
          <w:tcPr>
            <w:tcW w:w="1559" w:type="dxa"/>
            <w:tcBorders>
              <w:top w:val="single" w:sz="4" w:space="0" w:color="auto"/>
              <w:left w:val="single" w:sz="4" w:space="0" w:color="auto"/>
              <w:bottom w:val="single" w:sz="4" w:space="0" w:color="auto"/>
              <w:right w:val="single" w:sz="4" w:space="0" w:color="auto"/>
            </w:tcBorders>
          </w:tcPr>
          <w:p w14:paraId="7C8AFF9F" w14:textId="29367462" w:rsidR="005F2EB2" w:rsidRPr="000133E2" w:rsidRDefault="005F2EB2" w:rsidP="005F2EB2">
            <w:pPr>
              <w:pStyle w:val="NoSpacing"/>
              <w:rPr>
                <w:rFonts w:ascii="Arial" w:hAnsi="Arial" w:cs="Arial"/>
                <w:bCs/>
              </w:rPr>
            </w:pPr>
            <w:r w:rsidRPr="0047796E">
              <w:rPr>
                <w:rFonts w:ascii="Arial" w:hAnsi="Arial" w:cs="Arial"/>
                <w:b/>
                <w:sz w:val="20"/>
                <w:szCs w:val="20"/>
              </w:rPr>
              <w:t xml:space="preserve">Quarter 4 </w:t>
            </w:r>
            <w:r w:rsidRPr="00300F36">
              <w:rPr>
                <w:rFonts w:ascii="Arial" w:hAnsi="Arial" w:cs="Arial"/>
                <w:b/>
                <w:sz w:val="18"/>
                <w:szCs w:val="18"/>
              </w:rPr>
              <w:t>(January - March)</w:t>
            </w:r>
          </w:p>
        </w:tc>
        <w:tc>
          <w:tcPr>
            <w:tcW w:w="1559" w:type="dxa"/>
            <w:tcBorders>
              <w:top w:val="single" w:sz="4" w:space="0" w:color="auto"/>
              <w:left w:val="single" w:sz="4" w:space="0" w:color="auto"/>
              <w:bottom w:val="single" w:sz="4" w:space="0" w:color="auto"/>
              <w:right w:val="single" w:sz="4" w:space="0" w:color="auto"/>
            </w:tcBorders>
          </w:tcPr>
          <w:p w14:paraId="795FC374" w14:textId="7928F2A1" w:rsidR="005F2EB2" w:rsidRPr="00FA30B2" w:rsidRDefault="005F2EB2" w:rsidP="005F2EB2">
            <w:pPr>
              <w:pStyle w:val="NoSpacing"/>
              <w:rPr>
                <w:rFonts w:ascii="Arial" w:hAnsi="Arial" w:cs="Arial"/>
                <w:b/>
              </w:rPr>
            </w:pPr>
            <w:r w:rsidRPr="0047796E">
              <w:rPr>
                <w:rFonts w:ascii="Arial" w:hAnsi="Arial" w:cs="Arial"/>
                <w:b/>
                <w:sz w:val="20"/>
                <w:szCs w:val="20"/>
              </w:rPr>
              <w:t>2020/21 Target</w:t>
            </w:r>
          </w:p>
        </w:tc>
      </w:tr>
      <w:tr w:rsidR="005F2EB2" w:rsidRPr="00CA768A" w14:paraId="0E618FEB" w14:textId="77777777" w:rsidTr="00E52747">
        <w:trPr>
          <w:trHeight w:val="1039"/>
        </w:trPr>
        <w:tc>
          <w:tcPr>
            <w:tcW w:w="1843" w:type="dxa"/>
            <w:tcBorders>
              <w:top w:val="single" w:sz="4" w:space="0" w:color="auto"/>
              <w:left w:val="single" w:sz="4" w:space="0" w:color="auto"/>
              <w:bottom w:val="single" w:sz="4" w:space="0" w:color="auto"/>
              <w:right w:val="single" w:sz="4" w:space="0" w:color="auto"/>
            </w:tcBorders>
            <w:hideMark/>
          </w:tcPr>
          <w:p w14:paraId="71C8AE4E" w14:textId="77777777" w:rsidR="005F2EB2" w:rsidRPr="00CA768A" w:rsidRDefault="005F2EB2" w:rsidP="005F2EB2">
            <w:pPr>
              <w:pStyle w:val="NoSpacing"/>
              <w:rPr>
                <w:rFonts w:ascii="Arial" w:hAnsi="Arial" w:cs="Arial"/>
              </w:rPr>
            </w:pPr>
            <w:r w:rsidRPr="00CA768A">
              <w:rPr>
                <w:rFonts w:ascii="Arial" w:hAnsi="Arial" w:cs="Arial"/>
              </w:rPr>
              <w:t>Percentage of adults and older people whose desired safeguarding outcomes are fully met</w:t>
            </w:r>
          </w:p>
        </w:tc>
        <w:tc>
          <w:tcPr>
            <w:tcW w:w="1418" w:type="dxa"/>
            <w:tcBorders>
              <w:top w:val="single" w:sz="4" w:space="0" w:color="auto"/>
              <w:left w:val="single" w:sz="4" w:space="0" w:color="auto"/>
              <w:bottom w:val="single" w:sz="4" w:space="0" w:color="auto"/>
              <w:right w:val="single" w:sz="4" w:space="0" w:color="auto"/>
            </w:tcBorders>
            <w:hideMark/>
          </w:tcPr>
          <w:p w14:paraId="3AD3D8FA" w14:textId="77777777" w:rsidR="005F2EB2" w:rsidRPr="00CA768A" w:rsidRDefault="005F2EB2" w:rsidP="005F2EB2">
            <w:pPr>
              <w:pStyle w:val="NoSpacing"/>
              <w:rPr>
                <w:rFonts w:ascii="Arial" w:hAnsi="Arial" w:cs="Arial"/>
                <w:i/>
              </w:rPr>
            </w:pPr>
            <w:r w:rsidRPr="00CA768A">
              <w:rPr>
                <w:rFonts w:ascii="Arial" w:hAnsi="Arial" w:cs="Arial"/>
              </w:rPr>
              <w:t>Quarterly</w:t>
            </w:r>
          </w:p>
        </w:tc>
        <w:tc>
          <w:tcPr>
            <w:tcW w:w="1559" w:type="dxa"/>
            <w:tcBorders>
              <w:top w:val="single" w:sz="4" w:space="0" w:color="auto"/>
              <w:left w:val="single" w:sz="4" w:space="0" w:color="auto"/>
              <w:bottom w:val="single" w:sz="4" w:space="0" w:color="auto"/>
              <w:right w:val="single" w:sz="4" w:space="0" w:color="auto"/>
            </w:tcBorders>
          </w:tcPr>
          <w:p w14:paraId="6C37C55C" w14:textId="77777777" w:rsidR="005F2EB2" w:rsidRPr="00CA768A" w:rsidRDefault="005F2EB2" w:rsidP="005F2EB2">
            <w:pPr>
              <w:pStyle w:val="NoSpacing"/>
              <w:rPr>
                <w:rFonts w:ascii="Arial" w:hAnsi="Arial" w:cs="Arial"/>
              </w:rPr>
            </w:pPr>
            <w:r w:rsidRPr="00CA768A">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329B52C2" w14:textId="77777777" w:rsidR="005F2EB2" w:rsidRPr="00CA768A" w:rsidRDefault="005F2EB2" w:rsidP="005F2EB2">
            <w:pPr>
              <w:pStyle w:val="NoSpacing"/>
              <w:rPr>
                <w:rFonts w:ascii="Arial" w:hAnsi="Arial" w:cs="Arial"/>
              </w:rPr>
            </w:pPr>
            <w:r w:rsidRPr="00CA768A">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3B25B8" w14:textId="77777777" w:rsidR="005F2EB2" w:rsidRPr="00CA768A" w:rsidRDefault="005F2EB2" w:rsidP="005F2EB2">
            <w:pPr>
              <w:pStyle w:val="NoSpacing"/>
              <w:rPr>
                <w:rFonts w:ascii="Arial" w:hAnsi="Arial" w:cs="Arial"/>
              </w:rPr>
            </w:pPr>
            <w:r w:rsidRPr="00CA768A">
              <w:rPr>
                <w:rFonts w:ascii="Arial" w:hAnsi="Arial" w:cs="Arial"/>
              </w:rPr>
              <w:t>63.0%</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22EF37" w14:textId="77777777" w:rsidR="005F2EB2" w:rsidRPr="00CA768A" w:rsidRDefault="005F2EB2" w:rsidP="005F2EB2">
            <w:pPr>
              <w:pStyle w:val="NoSpacing"/>
              <w:rPr>
                <w:rFonts w:ascii="Arial" w:hAnsi="Arial" w:cs="Arial"/>
              </w:rPr>
            </w:pPr>
            <w:r>
              <w:rPr>
                <w:rFonts w:ascii="Arial" w:hAnsi="Arial" w:cs="Arial"/>
              </w:rPr>
              <w:t>62.6%</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3FF5FB" w14:textId="77777777" w:rsidR="005F2EB2" w:rsidRPr="00CA768A" w:rsidRDefault="005F2EB2" w:rsidP="005F2EB2">
            <w:pPr>
              <w:pStyle w:val="NoSpacing"/>
              <w:rPr>
                <w:rFonts w:ascii="Arial" w:hAnsi="Arial" w:cs="Arial"/>
              </w:rPr>
            </w:pPr>
            <w:r>
              <w:rPr>
                <w:rFonts w:ascii="Arial" w:hAnsi="Arial" w:cs="Arial"/>
              </w:rPr>
              <w:t>61.1%</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CC98B1" w14:textId="77777777" w:rsidR="005F2EB2" w:rsidRPr="00CA768A" w:rsidRDefault="005F2EB2" w:rsidP="005F2EB2">
            <w:pPr>
              <w:pStyle w:val="NoSpacing"/>
              <w:rPr>
                <w:rFonts w:ascii="Arial" w:hAnsi="Arial" w:cs="Arial"/>
              </w:rPr>
            </w:pPr>
            <w:r w:rsidRPr="00CA768A">
              <w:rPr>
                <w:rFonts w:ascii="Arial" w:hAnsi="Arial" w:cs="Arial"/>
              </w:rPr>
              <w:t>64.3%</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704B695" w14:textId="262D7C74" w:rsidR="005F2EB2" w:rsidRPr="00CA768A" w:rsidRDefault="005F2EB2" w:rsidP="005F2EB2">
            <w:pPr>
              <w:pStyle w:val="NoSpacing"/>
              <w:rPr>
                <w:rFonts w:ascii="Arial" w:hAnsi="Arial" w:cs="Arial"/>
              </w:rPr>
            </w:pPr>
            <w:r w:rsidRPr="00556FFA">
              <w:rPr>
                <w:rFonts w:ascii="Arial" w:hAnsi="Arial" w:cs="Arial"/>
              </w:rPr>
              <w:t>66.1%</w:t>
            </w:r>
          </w:p>
        </w:tc>
        <w:tc>
          <w:tcPr>
            <w:tcW w:w="1559" w:type="dxa"/>
            <w:tcBorders>
              <w:top w:val="single" w:sz="4" w:space="0" w:color="auto"/>
              <w:left w:val="single" w:sz="4" w:space="0" w:color="auto"/>
              <w:bottom w:val="single" w:sz="4" w:space="0" w:color="auto"/>
              <w:right w:val="single" w:sz="4" w:space="0" w:color="auto"/>
            </w:tcBorders>
          </w:tcPr>
          <w:p w14:paraId="010A9778" w14:textId="7B7D752A" w:rsidR="005F2EB2" w:rsidRPr="00CA768A" w:rsidRDefault="005F2EB2" w:rsidP="00122FB0">
            <w:pPr>
              <w:pStyle w:val="NoSpacing"/>
              <w:jc w:val="center"/>
              <w:rPr>
                <w:rFonts w:ascii="Arial" w:hAnsi="Arial" w:cs="Arial"/>
              </w:rPr>
            </w:pPr>
            <w:r w:rsidRPr="00CA768A">
              <w:rPr>
                <w:rFonts w:ascii="Arial" w:hAnsi="Arial" w:cs="Arial"/>
              </w:rPr>
              <w:t>70.3%</w:t>
            </w:r>
          </w:p>
        </w:tc>
      </w:tr>
      <w:tr w:rsidR="005F2EB2" w:rsidRPr="00CA768A" w14:paraId="17F7D219" w14:textId="77777777" w:rsidTr="00E52747">
        <w:trPr>
          <w:trHeight w:val="970"/>
        </w:trPr>
        <w:tc>
          <w:tcPr>
            <w:tcW w:w="1843" w:type="dxa"/>
            <w:tcBorders>
              <w:top w:val="single" w:sz="4" w:space="0" w:color="auto"/>
              <w:left w:val="single" w:sz="4" w:space="0" w:color="auto"/>
              <w:bottom w:val="single" w:sz="4" w:space="0" w:color="auto"/>
              <w:right w:val="single" w:sz="4" w:space="0" w:color="auto"/>
            </w:tcBorders>
          </w:tcPr>
          <w:p w14:paraId="4FDADC20" w14:textId="77777777" w:rsidR="005F2EB2" w:rsidRPr="00CA768A" w:rsidRDefault="005F2EB2" w:rsidP="005F2EB2">
            <w:pPr>
              <w:pStyle w:val="NoSpacing"/>
              <w:rPr>
                <w:rFonts w:ascii="Arial" w:hAnsi="Arial" w:cs="Arial"/>
              </w:rPr>
            </w:pPr>
            <w:r w:rsidRPr="00CA768A">
              <w:rPr>
                <w:rFonts w:ascii="Arial" w:hAnsi="Arial" w:cs="Arial"/>
              </w:rPr>
              <w:t xml:space="preserve">Percentage of Care homes in Lancashire rated as Good or Outstanding – all Care Home provision </w:t>
            </w:r>
          </w:p>
          <w:p w14:paraId="1A3B8DFC" w14:textId="77777777" w:rsidR="005F2EB2" w:rsidRPr="00CA768A" w:rsidRDefault="005F2EB2" w:rsidP="005F2EB2">
            <w:pPr>
              <w:pStyle w:val="NoSpacing"/>
              <w:rPr>
                <w:rFonts w:ascii="Arial" w:hAnsi="Arial" w:cs="Arial"/>
              </w:rPr>
            </w:pPr>
            <w:r w:rsidRPr="00CA768A">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tcPr>
          <w:p w14:paraId="79C2A9F3" w14:textId="77777777" w:rsidR="005F2EB2" w:rsidRPr="00CA768A" w:rsidRDefault="005F2EB2" w:rsidP="005F2EB2">
            <w:pPr>
              <w:pStyle w:val="NoSpacing"/>
              <w:rPr>
                <w:rFonts w:ascii="Arial" w:hAnsi="Arial" w:cs="Arial"/>
              </w:rPr>
            </w:pPr>
            <w:r w:rsidRPr="00CA768A">
              <w:rPr>
                <w:rFonts w:ascii="Arial" w:hAnsi="Arial" w:cs="Arial"/>
              </w:rPr>
              <w:t>Quarterly</w:t>
            </w:r>
          </w:p>
        </w:tc>
        <w:tc>
          <w:tcPr>
            <w:tcW w:w="1559" w:type="dxa"/>
            <w:tcBorders>
              <w:top w:val="single" w:sz="4" w:space="0" w:color="auto"/>
              <w:left w:val="single" w:sz="4" w:space="0" w:color="auto"/>
              <w:bottom w:val="single" w:sz="4" w:space="0" w:color="auto"/>
              <w:right w:val="single" w:sz="4" w:space="0" w:color="auto"/>
            </w:tcBorders>
          </w:tcPr>
          <w:p w14:paraId="3BFED254" w14:textId="77777777" w:rsidR="005F2EB2" w:rsidRPr="00CA768A" w:rsidRDefault="005F2EB2" w:rsidP="005F2EB2">
            <w:pPr>
              <w:pStyle w:val="NoSpacing"/>
              <w:rPr>
                <w:rFonts w:ascii="Arial" w:hAnsi="Arial" w:cs="Arial"/>
              </w:rPr>
            </w:pPr>
            <w:r w:rsidRPr="00CA768A">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39D7AE84" w14:textId="77777777" w:rsidR="005F2EB2" w:rsidRPr="00CA768A" w:rsidRDefault="005F2EB2" w:rsidP="005F2EB2">
            <w:pPr>
              <w:pStyle w:val="NoSpacing"/>
              <w:rPr>
                <w:rFonts w:ascii="Arial" w:hAnsi="Arial" w:cs="Arial"/>
              </w:rPr>
            </w:pPr>
            <w:r w:rsidRPr="00CA768A">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3AB299" w14:textId="77777777" w:rsidR="005F2EB2" w:rsidRPr="00CA768A" w:rsidRDefault="005F2EB2" w:rsidP="005F2EB2">
            <w:pPr>
              <w:pStyle w:val="NoSpacing"/>
              <w:rPr>
                <w:rFonts w:ascii="Arial" w:hAnsi="Arial" w:cs="Arial"/>
              </w:rPr>
            </w:pPr>
            <w:r w:rsidRPr="00CA768A">
              <w:rPr>
                <w:rFonts w:ascii="Arial" w:hAnsi="Arial" w:cs="Arial"/>
              </w:rPr>
              <w:t>84.8%</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E27757" w14:textId="77777777" w:rsidR="005F2EB2" w:rsidRPr="00CA768A" w:rsidRDefault="005F2EB2" w:rsidP="005F2EB2">
            <w:pPr>
              <w:pStyle w:val="NoSpacing"/>
              <w:rPr>
                <w:rFonts w:ascii="Arial" w:hAnsi="Arial" w:cs="Arial"/>
              </w:rPr>
            </w:pPr>
            <w:r>
              <w:rPr>
                <w:rFonts w:ascii="Arial" w:hAnsi="Arial" w:cs="Arial"/>
              </w:rPr>
              <w:t>84.5%</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0923B1" w14:textId="77777777" w:rsidR="005F2EB2" w:rsidRPr="00CA768A" w:rsidRDefault="005F2EB2" w:rsidP="005F2EB2">
            <w:pPr>
              <w:pStyle w:val="NoSpacing"/>
              <w:rPr>
                <w:rFonts w:ascii="Arial" w:hAnsi="Arial" w:cs="Arial"/>
              </w:rPr>
            </w:pPr>
            <w:r>
              <w:rPr>
                <w:rFonts w:ascii="Arial" w:hAnsi="Arial" w:cs="Arial"/>
              </w:rPr>
              <w:t>84.5%</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AB0408" w14:textId="77777777" w:rsidR="005F2EB2" w:rsidRPr="00CA768A" w:rsidRDefault="005F2EB2" w:rsidP="005F2EB2">
            <w:pPr>
              <w:pStyle w:val="NoSpacing"/>
              <w:rPr>
                <w:rFonts w:ascii="Arial" w:hAnsi="Arial" w:cs="Arial"/>
              </w:rPr>
            </w:pPr>
            <w:r w:rsidRPr="00CA768A">
              <w:rPr>
                <w:rFonts w:ascii="Arial" w:hAnsi="Arial" w:cs="Arial"/>
              </w:rPr>
              <w:t>84.1%</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484B53" w14:textId="1079BD59" w:rsidR="005F2EB2" w:rsidRPr="00CA768A" w:rsidRDefault="005F2EB2" w:rsidP="005F2EB2">
            <w:pPr>
              <w:pStyle w:val="NoSpacing"/>
              <w:rPr>
                <w:rFonts w:ascii="Arial" w:hAnsi="Arial" w:cs="Arial"/>
              </w:rPr>
            </w:pPr>
            <w:r w:rsidRPr="00556FFA">
              <w:rPr>
                <w:rFonts w:ascii="Arial" w:hAnsi="Arial" w:cs="Arial"/>
              </w:rPr>
              <w:t>83.9%</w:t>
            </w:r>
          </w:p>
        </w:tc>
        <w:tc>
          <w:tcPr>
            <w:tcW w:w="1559" w:type="dxa"/>
            <w:tcBorders>
              <w:top w:val="single" w:sz="4" w:space="0" w:color="auto"/>
              <w:left w:val="single" w:sz="4" w:space="0" w:color="auto"/>
              <w:bottom w:val="single" w:sz="4" w:space="0" w:color="auto"/>
              <w:right w:val="single" w:sz="4" w:space="0" w:color="auto"/>
            </w:tcBorders>
          </w:tcPr>
          <w:p w14:paraId="77C692BA" w14:textId="2ADD4261" w:rsidR="005F2EB2" w:rsidRPr="00CA768A" w:rsidRDefault="005F2EB2" w:rsidP="00122FB0">
            <w:pPr>
              <w:pStyle w:val="NoSpacing"/>
              <w:jc w:val="center"/>
              <w:rPr>
                <w:rFonts w:ascii="Arial" w:hAnsi="Arial" w:cs="Arial"/>
              </w:rPr>
            </w:pPr>
            <w:r w:rsidRPr="00CA768A">
              <w:rPr>
                <w:rFonts w:ascii="Arial" w:hAnsi="Arial" w:cs="Arial"/>
              </w:rPr>
              <w:t>83.5%</w:t>
            </w:r>
          </w:p>
        </w:tc>
      </w:tr>
      <w:tr w:rsidR="005F2EB2" w:rsidRPr="00CA768A" w14:paraId="577D4B88" w14:textId="77777777" w:rsidTr="00E52747">
        <w:trPr>
          <w:trHeight w:val="1230"/>
        </w:trPr>
        <w:tc>
          <w:tcPr>
            <w:tcW w:w="1843" w:type="dxa"/>
            <w:tcBorders>
              <w:top w:val="single" w:sz="4" w:space="0" w:color="auto"/>
              <w:left w:val="single" w:sz="4" w:space="0" w:color="auto"/>
              <w:bottom w:val="single" w:sz="4" w:space="0" w:color="auto"/>
              <w:right w:val="single" w:sz="4" w:space="0" w:color="auto"/>
            </w:tcBorders>
          </w:tcPr>
          <w:p w14:paraId="1943CB8C" w14:textId="77777777" w:rsidR="005F2EB2" w:rsidRPr="00CA768A" w:rsidRDefault="005F2EB2" w:rsidP="005F2EB2">
            <w:pPr>
              <w:pStyle w:val="NoSpacing"/>
              <w:rPr>
                <w:rFonts w:ascii="Arial" w:hAnsi="Arial" w:cs="Arial"/>
              </w:rPr>
            </w:pPr>
            <w:r w:rsidRPr="00CA768A">
              <w:rPr>
                <w:rFonts w:ascii="Arial" w:hAnsi="Arial" w:cs="Arial"/>
              </w:rPr>
              <w:t>Percentage care providers in the community rated as Good or Outstanding - all Community Based provision</w:t>
            </w:r>
          </w:p>
          <w:p w14:paraId="58E471C1" w14:textId="77777777" w:rsidR="005F2EB2" w:rsidRPr="00CA768A" w:rsidRDefault="005F2EB2" w:rsidP="005F2EB2">
            <w:pPr>
              <w:pStyle w:val="NoSpacing"/>
              <w:rPr>
                <w:rFonts w:ascii="Arial" w:hAnsi="Arial" w:cs="Arial"/>
              </w:rPr>
            </w:pPr>
            <w:r w:rsidRPr="00CA768A">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tcPr>
          <w:p w14:paraId="4EECE649" w14:textId="77777777" w:rsidR="005F2EB2" w:rsidRPr="00CA768A" w:rsidRDefault="005F2EB2" w:rsidP="005F2EB2">
            <w:pPr>
              <w:pStyle w:val="NoSpacing"/>
              <w:rPr>
                <w:rFonts w:ascii="Arial" w:hAnsi="Arial" w:cs="Arial"/>
              </w:rPr>
            </w:pPr>
            <w:r w:rsidRPr="00CA768A">
              <w:rPr>
                <w:rFonts w:ascii="Arial" w:hAnsi="Arial" w:cs="Arial"/>
              </w:rPr>
              <w:t>Quarterly</w:t>
            </w:r>
          </w:p>
        </w:tc>
        <w:tc>
          <w:tcPr>
            <w:tcW w:w="1559" w:type="dxa"/>
            <w:tcBorders>
              <w:top w:val="single" w:sz="4" w:space="0" w:color="auto"/>
              <w:left w:val="single" w:sz="4" w:space="0" w:color="auto"/>
              <w:bottom w:val="single" w:sz="4" w:space="0" w:color="auto"/>
              <w:right w:val="single" w:sz="4" w:space="0" w:color="auto"/>
            </w:tcBorders>
          </w:tcPr>
          <w:p w14:paraId="714B4AF2" w14:textId="77777777" w:rsidR="005F2EB2" w:rsidRPr="00CA768A" w:rsidRDefault="005F2EB2" w:rsidP="005F2EB2">
            <w:pPr>
              <w:pStyle w:val="NoSpacing"/>
              <w:rPr>
                <w:rFonts w:ascii="Arial" w:hAnsi="Arial" w:cs="Arial"/>
              </w:rPr>
            </w:pPr>
            <w:r w:rsidRPr="00CA768A">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70870A3E" w14:textId="77777777" w:rsidR="005F2EB2" w:rsidRPr="00CA768A" w:rsidRDefault="005F2EB2" w:rsidP="005F2EB2">
            <w:pPr>
              <w:pStyle w:val="NoSpacing"/>
              <w:rPr>
                <w:rFonts w:ascii="Arial" w:hAnsi="Arial" w:cs="Arial"/>
              </w:rPr>
            </w:pPr>
            <w:r w:rsidRPr="00CA768A">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28A10C" w14:textId="77777777" w:rsidR="005F2EB2" w:rsidRPr="00CA768A" w:rsidRDefault="005F2EB2" w:rsidP="005F2EB2">
            <w:pPr>
              <w:pStyle w:val="NoSpacing"/>
              <w:rPr>
                <w:rFonts w:ascii="Arial" w:hAnsi="Arial" w:cs="Arial"/>
              </w:rPr>
            </w:pPr>
            <w:r w:rsidRPr="00CA768A">
              <w:rPr>
                <w:rFonts w:ascii="Arial" w:hAnsi="Arial" w:cs="Arial"/>
              </w:rPr>
              <w:t>94.2%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B72885" w14:textId="77777777" w:rsidR="005F2EB2" w:rsidRPr="00CA768A" w:rsidRDefault="005F2EB2" w:rsidP="005F2EB2">
            <w:pPr>
              <w:pStyle w:val="NoSpacing"/>
              <w:rPr>
                <w:rFonts w:ascii="Arial" w:hAnsi="Arial" w:cs="Arial"/>
              </w:rPr>
            </w:pPr>
            <w:r>
              <w:rPr>
                <w:rFonts w:ascii="Arial" w:hAnsi="Arial" w:cs="Arial"/>
              </w:rPr>
              <w:t>94.5%</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9A4404" w14:textId="77777777" w:rsidR="005F2EB2" w:rsidRPr="00CA768A" w:rsidRDefault="005F2EB2" w:rsidP="005F2EB2">
            <w:pPr>
              <w:pStyle w:val="NoSpacing"/>
              <w:rPr>
                <w:rFonts w:ascii="Arial" w:hAnsi="Arial" w:cs="Arial"/>
              </w:rPr>
            </w:pPr>
            <w:r>
              <w:rPr>
                <w:rFonts w:ascii="Arial" w:hAnsi="Arial" w:cs="Arial"/>
              </w:rPr>
              <w:t>95.8%</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303528" w14:textId="77777777" w:rsidR="005F2EB2" w:rsidRPr="00CA768A" w:rsidRDefault="005F2EB2" w:rsidP="005F2EB2">
            <w:pPr>
              <w:pStyle w:val="NoSpacing"/>
              <w:rPr>
                <w:rFonts w:ascii="Arial" w:hAnsi="Arial" w:cs="Arial"/>
              </w:rPr>
            </w:pPr>
            <w:r w:rsidRPr="00CA768A">
              <w:rPr>
                <w:rFonts w:ascii="Arial" w:hAnsi="Arial" w:cs="Arial"/>
              </w:rPr>
              <w:t>96.2%</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195D7E" w14:textId="6F3823E4" w:rsidR="005F2EB2" w:rsidRPr="00CA768A" w:rsidRDefault="005F2EB2" w:rsidP="005F2EB2">
            <w:pPr>
              <w:pStyle w:val="NoSpacing"/>
              <w:rPr>
                <w:rFonts w:ascii="Arial" w:hAnsi="Arial" w:cs="Arial"/>
              </w:rPr>
            </w:pPr>
            <w:r w:rsidRPr="00556FFA">
              <w:rPr>
                <w:rFonts w:ascii="Arial" w:hAnsi="Arial" w:cs="Arial"/>
              </w:rPr>
              <w:t>95.6%</w:t>
            </w:r>
          </w:p>
        </w:tc>
        <w:tc>
          <w:tcPr>
            <w:tcW w:w="1559" w:type="dxa"/>
            <w:tcBorders>
              <w:top w:val="single" w:sz="4" w:space="0" w:color="auto"/>
              <w:left w:val="single" w:sz="4" w:space="0" w:color="auto"/>
              <w:bottom w:val="single" w:sz="4" w:space="0" w:color="auto"/>
              <w:right w:val="single" w:sz="4" w:space="0" w:color="auto"/>
            </w:tcBorders>
          </w:tcPr>
          <w:p w14:paraId="227401FF" w14:textId="417E5897" w:rsidR="005F2EB2" w:rsidRPr="00CA768A" w:rsidRDefault="005F2EB2" w:rsidP="00122FB0">
            <w:pPr>
              <w:pStyle w:val="NoSpacing"/>
              <w:jc w:val="center"/>
              <w:rPr>
                <w:rFonts w:ascii="Arial" w:hAnsi="Arial" w:cs="Arial"/>
              </w:rPr>
            </w:pPr>
            <w:r w:rsidRPr="00CA768A">
              <w:rPr>
                <w:rFonts w:ascii="Arial" w:hAnsi="Arial" w:cs="Arial"/>
              </w:rPr>
              <w:t>96%</w:t>
            </w:r>
          </w:p>
        </w:tc>
      </w:tr>
    </w:tbl>
    <w:p w14:paraId="7CC78D93" w14:textId="122D4744" w:rsidR="0030579F" w:rsidRDefault="0030579F" w:rsidP="0030579F">
      <w:pPr>
        <w:rPr>
          <w:rFonts w:cs="Arial"/>
          <w:b/>
          <w:sz w:val="22"/>
          <w:szCs w:val="22"/>
        </w:rPr>
      </w:pPr>
    </w:p>
    <w:p w14:paraId="6E13BA6A" w14:textId="77777777" w:rsidR="00E4227B" w:rsidRPr="00CA768A" w:rsidRDefault="00E4227B" w:rsidP="0030579F">
      <w:pPr>
        <w:rPr>
          <w:rFonts w:cs="Arial"/>
          <w:b/>
          <w:sz w:val="22"/>
          <w:szCs w:val="22"/>
        </w:rPr>
      </w:pPr>
    </w:p>
    <w:p w14:paraId="3CA36EB2" w14:textId="50234475" w:rsidR="00340960" w:rsidRDefault="00340960" w:rsidP="00340960">
      <w:pPr>
        <w:rPr>
          <w:rFonts w:cs="Arial"/>
          <w:sz w:val="22"/>
          <w:szCs w:val="22"/>
        </w:rPr>
      </w:pPr>
      <w:r w:rsidRPr="00556FFA">
        <w:rPr>
          <w:rFonts w:cs="Arial"/>
          <w:b/>
          <w:sz w:val="22"/>
          <w:szCs w:val="22"/>
        </w:rPr>
        <w:lastRenderedPageBreak/>
        <w:t>Safeguarding outcomes</w:t>
      </w:r>
      <w:r w:rsidRPr="00556FFA">
        <w:rPr>
          <w:rFonts w:cs="Arial"/>
          <w:b/>
        </w:rPr>
        <w:t xml:space="preserve">. </w:t>
      </w:r>
      <w:r w:rsidRPr="00556FFA">
        <w:rPr>
          <w:rFonts w:cs="Arial"/>
          <w:sz w:val="22"/>
          <w:szCs w:val="22"/>
        </w:rPr>
        <w:t>There has been an improved position in the proportion of people who have indicated that their safeguarding outcomes were fully met, with performance rising to 66.1% at the end of the year</w:t>
      </w:r>
      <w:r w:rsidR="00F50B4A">
        <w:rPr>
          <w:rFonts w:cs="Arial"/>
          <w:sz w:val="22"/>
          <w:szCs w:val="22"/>
        </w:rPr>
        <w:t>.</w:t>
      </w:r>
      <w:r w:rsidRPr="00556FFA">
        <w:rPr>
          <w:rFonts w:cs="Arial"/>
          <w:sz w:val="22"/>
          <w:szCs w:val="22"/>
        </w:rPr>
        <w:t xml:space="preserve">  </w:t>
      </w:r>
      <w:r w:rsidR="00F50B4A">
        <w:rPr>
          <w:rFonts w:cs="Arial"/>
          <w:sz w:val="22"/>
          <w:szCs w:val="22"/>
        </w:rPr>
        <w:t>96% of people indicated that their desired safeguarding outcomes were partially or fully achieved.</w:t>
      </w:r>
      <w:r w:rsidR="00623DEA">
        <w:rPr>
          <w:rFonts w:cs="Arial"/>
          <w:sz w:val="22"/>
          <w:szCs w:val="22"/>
        </w:rPr>
        <w:t xml:space="preserve"> </w:t>
      </w:r>
      <w:r w:rsidRPr="00354308">
        <w:rPr>
          <w:rFonts w:cs="Arial"/>
          <w:sz w:val="22"/>
          <w:szCs w:val="22"/>
        </w:rPr>
        <w:t xml:space="preserve">There is no evidence to suggest that there has been any impact of </w:t>
      </w:r>
      <w:r w:rsidR="002B747A">
        <w:rPr>
          <w:rFonts w:cs="Arial"/>
          <w:sz w:val="22"/>
          <w:szCs w:val="22"/>
        </w:rPr>
        <w:t>the pandemic</w:t>
      </w:r>
      <w:r w:rsidRPr="00354308">
        <w:rPr>
          <w:rFonts w:cs="Arial"/>
          <w:sz w:val="22"/>
          <w:szCs w:val="22"/>
        </w:rPr>
        <w:t xml:space="preserve"> in relation to </w:t>
      </w:r>
      <w:r>
        <w:rPr>
          <w:rFonts w:cs="Arial"/>
          <w:sz w:val="22"/>
          <w:szCs w:val="22"/>
        </w:rPr>
        <w:t>safeguarding reasons, with 'Ne</w:t>
      </w:r>
      <w:r w:rsidRPr="00354308">
        <w:rPr>
          <w:rFonts w:cs="Arial"/>
          <w:sz w:val="22"/>
          <w:szCs w:val="22"/>
        </w:rPr>
        <w:t>glect</w:t>
      </w:r>
      <w:r>
        <w:rPr>
          <w:rFonts w:cs="Arial"/>
          <w:sz w:val="22"/>
          <w:szCs w:val="22"/>
        </w:rPr>
        <w:t>'</w:t>
      </w:r>
      <w:r w:rsidRPr="00354308">
        <w:rPr>
          <w:rFonts w:cs="Arial"/>
          <w:sz w:val="22"/>
          <w:szCs w:val="22"/>
        </w:rPr>
        <w:t xml:space="preserve"> and </w:t>
      </w:r>
      <w:r>
        <w:rPr>
          <w:rFonts w:cs="Arial"/>
          <w:sz w:val="22"/>
          <w:szCs w:val="22"/>
        </w:rPr>
        <w:t>'</w:t>
      </w:r>
      <w:r w:rsidRPr="00354308">
        <w:rPr>
          <w:rFonts w:cs="Arial"/>
          <w:sz w:val="22"/>
          <w:szCs w:val="22"/>
        </w:rPr>
        <w:t xml:space="preserve">Acts of </w:t>
      </w:r>
      <w:r>
        <w:rPr>
          <w:rFonts w:cs="Arial"/>
          <w:sz w:val="22"/>
          <w:szCs w:val="22"/>
        </w:rPr>
        <w:t>O</w:t>
      </w:r>
      <w:r w:rsidRPr="00354308">
        <w:rPr>
          <w:rFonts w:cs="Arial"/>
          <w:sz w:val="22"/>
          <w:szCs w:val="22"/>
        </w:rPr>
        <w:t>mission</w:t>
      </w:r>
      <w:r>
        <w:rPr>
          <w:rFonts w:cs="Arial"/>
          <w:sz w:val="22"/>
          <w:szCs w:val="22"/>
        </w:rPr>
        <w:t>'</w:t>
      </w:r>
      <w:r w:rsidRPr="00354308">
        <w:rPr>
          <w:rFonts w:cs="Arial"/>
          <w:sz w:val="22"/>
          <w:szCs w:val="22"/>
        </w:rPr>
        <w:t xml:space="preserve"> continu</w:t>
      </w:r>
      <w:r>
        <w:rPr>
          <w:rFonts w:cs="Arial"/>
          <w:sz w:val="22"/>
          <w:szCs w:val="22"/>
        </w:rPr>
        <w:t>ing</w:t>
      </w:r>
      <w:r w:rsidRPr="00354308">
        <w:rPr>
          <w:rFonts w:cs="Arial"/>
          <w:sz w:val="22"/>
          <w:szCs w:val="22"/>
        </w:rPr>
        <w:t xml:space="preserve"> to </w:t>
      </w:r>
      <w:r>
        <w:rPr>
          <w:rFonts w:cs="Arial"/>
          <w:sz w:val="22"/>
          <w:szCs w:val="22"/>
        </w:rPr>
        <w:t xml:space="preserve">be </w:t>
      </w:r>
      <w:r w:rsidRPr="00354308">
        <w:rPr>
          <w:rFonts w:cs="Arial"/>
          <w:sz w:val="22"/>
          <w:szCs w:val="22"/>
        </w:rPr>
        <w:t>consistently the highest reported concern.</w:t>
      </w:r>
    </w:p>
    <w:p w14:paraId="740610A5" w14:textId="77777777" w:rsidR="00BE0C2C" w:rsidRDefault="00BE0C2C" w:rsidP="00340960">
      <w:pPr>
        <w:rPr>
          <w:rFonts w:ascii="Calibri" w:eastAsiaTheme="minorHAnsi" w:hAnsi="Calibri" w:cs="Calibri"/>
          <w:color w:val="auto"/>
          <w:sz w:val="22"/>
          <w:szCs w:val="22"/>
        </w:rPr>
      </w:pPr>
    </w:p>
    <w:p w14:paraId="3449DA94" w14:textId="3650F782" w:rsidR="00473184" w:rsidRDefault="00BE0C2C" w:rsidP="00473184">
      <w:pPr>
        <w:pStyle w:val="NoSpacing"/>
        <w:jc w:val="both"/>
        <w:rPr>
          <w:rFonts w:ascii="Arial" w:hAnsi="Arial" w:cs="Arial"/>
        </w:rPr>
      </w:pPr>
      <w:r w:rsidRPr="00473184">
        <w:rPr>
          <w:rFonts w:ascii="Arial" w:hAnsi="Arial" w:cs="Arial"/>
          <w:b/>
          <w:bCs/>
        </w:rPr>
        <w:t>Quality of care homes. </w:t>
      </w:r>
      <w:r w:rsidR="002B0DBD" w:rsidRPr="00473184">
        <w:rPr>
          <w:rFonts w:ascii="Arial" w:hAnsi="Arial" w:cs="Arial"/>
        </w:rPr>
        <w:t>Across Lancashire 84% of care homes are rated good or outstanding by the Care Quality Commission</w:t>
      </w:r>
      <w:r w:rsidR="00473184" w:rsidRPr="00473184">
        <w:rPr>
          <w:rFonts w:ascii="Arial" w:hAnsi="Arial" w:cs="Arial"/>
        </w:rPr>
        <w:t xml:space="preserve"> (CQC)</w:t>
      </w:r>
      <w:r w:rsidR="002B0DBD" w:rsidRPr="00473184">
        <w:rPr>
          <w:rFonts w:ascii="Arial" w:hAnsi="Arial" w:cs="Arial"/>
        </w:rPr>
        <w:t xml:space="preserve">, which is </w:t>
      </w:r>
      <w:r w:rsidR="00526E10">
        <w:rPr>
          <w:rFonts w:ascii="Arial" w:hAnsi="Arial" w:cs="Arial"/>
        </w:rPr>
        <w:t xml:space="preserve">slightly </w:t>
      </w:r>
      <w:r w:rsidR="002B0DBD" w:rsidRPr="00473184">
        <w:rPr>
          <w:rFonts w:ascii="Arial" w:hAnsi="Arial" w:cs="Arial"/>
        </w:rPr>
        <w:t xml:space="preserve">better than </w:t>
      </w:r>
      <w:r w:rsidR="00473184" w:rsidRPr="00473184">
        <w:rPr>
          <w:rFonts w:ascii="Arial" w:hAnsi="Arial" w:cs="Arial"/>
        </w:rPr>
        <w:t xml:space="preserve">national performance </w:t>
      </w:r>
      <w:r w:rsidR="00473184" w:rsidRPr="00526E10">
        <w:rPr>
          <w:rFonts w:ascii="Arial" w:hAnsi="Arial" w:cs="Arial"/>
        </w:rPr>
        <w:t>(</w:t>
      </w:r>
      <w:r w:rsidR="00526E10" w:rsidRPr="00526E10">
        <w:rPr>
          <w:rFonts w:ascii="Arial" w:hAnsi="Arial" w:cs="Arial"/>
        </w:rPr>
        <w:t>83</w:t>
      </w:r>
      <w:r w:rsidR="00473184" w:rsidRPr="00526E10">
        <w:rPr>
          <w:rFonts w:ascii="Arial" w:hAnsi="Arial" w:cs="Arial"/>
        </w:rPr>
        <w:t>%).</w:t>
      </w:r>
      <w:r w:rsidR="008F7657">
        <w:rPr>
          <w:rFonts w:ascii="Arial" w:hAnsi="Arial" w:cs="Arial"/>
        </w:rPr>
        <w:t xml:space="preserve"> I</w:t>
      </w:r>
      <w:r w:rsidR="00473184" w:rsidRPr="00473184">
        <w:rPr>
          <w:rFonts w:ascii="Arial" w:hAnsi="Arial" w:cs="Arial"/>
        </w:rPr>
        <w:t>nspections of care homes significantly decreased across the country</w:t>
      </w:r>
      <w:r w:rsidR="008F7657">
        <w:rPr>
          <w:rFonts w:ascii="Arial" w:hAnsi="Arial" w:cs="Arial"/>
        </w:rPr>
        <w:t xml:space="preserve"> in 2020/21 due to the pandemic.  In Lancashire, </w:t>
      </w:r>
      <w:r w:rsidR="00473184">
        <w:rPr>
          <w:rFonts w:ascii="Arial" w:hAnsi="Arial" w:cs="Arial"/>
        </w:rPr>
        <w:t>only 52</w:t>
      </w:r>
      <w:r w:rsidR="00473184" w:rsidRPr="00473184">
        <w:rPr>
          <w:rFonts w:ascii="Arial" w:hAnsi="Arial" w:cs="Arial"/>
        </w:rPr>
        <w:t xml:space="preserve"> inspections </w:t>
      </w:r>
      <w:r w:rsidR="008F7657">
        <w:rPr>
          <w:rFonts w:ascii="Arial" w:hAnsi="Arial" w:cs="Arial"/>
        </w:rPr>
        <w:t xml:space="preserve">were </w:t>
      </w:r>
      <w:r w:rsidR="00473184" w:rsidRPr="00473184">
        <w:rPr>
          <w:rFonts w:ascii="Arial" w:hAnsi="Arial" w:cs="Arial"/>
        </w:rPr>
        <w:t>published in the year to March 2021</w:t>
      </w:r>
      <w:r w:rsidR="00473184">
        <w:rPr>
          <w:rFonts w:ascii="Arial" w:hAnsi="Arial" w:cs="Arial"/>
        </w:rPr>
        <w:t xml:space="preserve"> </w:t>
      </w:r>
      <w:r w:rsidR="00473184" w:rsidRPr="00473184">
        <w:rPr>
          <w:rFonts w:ascii="Arial" w:hAnsi="Arial" w:cs="Arial"/>
        </w:rPr>
        <w:t>compared to 160 in the same period in 2019/20</w:t>
      </w:r>
      <w:r w:rsidR="00473184">
        <w:rPr>
          <w:rFonts w:ascii="Arial" w:hAnsi="Arial" w:cs="Arial"/>
        </w:rPr>
        <w:t>.</w:t>
      </w:r>
      <w:r w:rsidR="00473184" w:rsidRPr="00473184">
        <w:rPr>
          <w:rFonts w:ascii="Arial" w:hAnsi="Arial" w:cs="Arial"/>
        </w:rPr>
        <w:t xml:space="preserve"> </w:t>
      </w:r>
      <w:r w:rsidR="008F7657">
        <w:rPr>
          <w:rFonts w:ascii="Arial" w:hAnsi="Arial" w:cs="Arial"/>
        </w:rPr>
        <w:t xml:space="preserve">Only one LCC maintained care home was inspected, resulting in </w:t>
      </w:r>
      <w:proofErr w:type="spellStart"/>
      <w:r w:rsidR="008F7657">
        <w:rPr>
          <w:rFonts w:ascii="Arial" w:hAnsi="Arial" w:cs="Arial"/>
        </w:rPr>
        <w:t>Cravenside</w:t>
      </w:r>
      <w:proofErr w:type="spellEnd"/>
      <w:r w:rsidR="008F7657">
        <w:rPr>
          <w:rFonts w:ascii="Arial" w:hAnsi="Arial" w:cs="Arial"/>
        </w:rPr>
        <w:t xml:space="preserve"> improving from requires improvement to good.  </w:t>
      </w:r>
    </w:p>
    <w:p w14:paraId="6365A606" w14:textId="77777777" w:rsidR="00473184" w:rsidRDefault="00473184" w:rsidP="00473184">
      <w:pPr>
        <w:pStyle w:val="NoSpacing"/>
        <w:jc w:val="both"/>
        <w:rPr>
          <w:rFonts w:ascii="Arial" w:hAnsi="Arial" w:cs="Arial"/>
        </w:rPr>
      </w:pPr>
    </w:p>
    <w:p w14:paraId="3291851F" w14:textId="6AF7B6B1" w:rsidR="00473184" w:rsidRPr="00473184" w:rsidRDefault="00473184" w:rsidP="00473184">
      <w:pPr>
        <w:pStyle w:val="NoSpacing"/>
        <w:jc w:val="both"/>
        <w:rPr>
          <w:rFonts w:ascii="Arial" w:hAnsi="Arial" w:cs="Arial"/>
        </w:rPr>
      </w:pPr>
      <w:r w:rsidRPr="00473184">
        <w:rPr>
          <w:rFonts w:ascii="Arial" w:hAnsi="Arial" w:cs="Arial"/>
        </w:rPr>
        <w:t xml:space="preserve">Lancashire County Council maintains </w:t>
      </w:r>
      <w:r w:rsidR="00A666B3">
        <w:rPr>
          <w:rFonts w:ascii="Arial" w:hAnsi="Arial" w:cs="Arial"/>
        </w:rPr>
        <w:t>16</w:t>
      </w:r>
      <w:r w:rsidRPr="00473184">
        <w:rPr>
          <w:rFonts w:ascii="Arial" w:hAnsi="Arial" w:cs="Arial"/>
        </w:rPr>
        <w:t xml:space="preserve"> care homes</w:t>
      </w:r>
      <w:r w:rsidR="00A666B3">
        <w:rPr>
          <w:rFonts w:ascii="Arial" w:hAnsi="Arial" w:cs="Arial"/>
        </w:rPr>
        <w:t xml:space="preserve"> for older people</w:t>
      </w:r>
      <w:r w:rsidRPr="00473184">
        <w:rPr>
          <w:rFonts w:ascii="Arial" w:hAnsi="Arial" w:cs="Arial"/>
        </w:rPr>
        <w:t>,</w:t>
      </w:r>
      <w:r w:rsidR="00A666B3">
        <w:rPr>
          <w:rFonts w:ascii="Arial" w:hAnsi="Arial" w:cs="Arial"/>
        </w:rPr>
        <w:t>13</w:t>
      </w:r>
      <w:r w:rsidRPr="00473184">
        <w:rPr>
          <w:rFonts w:ascii="Arial" w:hAnsi="Arial" w:cs="Arial"/>
        </w:rPr>
        <w:t xml:space="preserve"> of which are</w:t>
      </w:r>
      <w:r w:rsidR="00A666B3">
        <w:rPr>
          <w:rFonts w:ascii="Arial" w:hAnsi="Arial" w:cs="Arial"/>
        </w:rPr>
        <w:t xml:space="preserve"> currently</w:t>
      </w:r>
      <w:r w:rsidRPr="00473184">
        <w:rPr>
          <w:rFonts w:ascii="Arial" w:hAnsi="Arial" w:cs="Arial"/>
        </w:rPr>
        <w:t xml:space="preserve"> rated good or outstanding</w:t>
      </w:r>
      <w:r w:rsidR="00A666B3">
        <w:rPr>
          <w:rFonts w:ascii="Arial" w:hAnsi="Arial" w:cs="Arial"/>
        </w:rPr>
        <w:t xml:space="preserve"> </w:t>
      </w:r>
      <w:r w:rsidRPr="00473184">
        <w:rPr>
          <w:rFonts w:ascii="Arial" w:hAnsi="Arial" w:cs="Arial"/>
        </w:rPr>
        <w:t xml:space="preserve">with three </w:t>
      </w:r>
      <w:r w:rsidR="00A666B3">
        <w:rPr>
          <w:rFonts w:ascii="Arial" w:hAnsi="Arial" w:cs="Arial"/>
        </w:rPr>
        <w:t xml:space="preserve">care </w:t>
      </w:r>
      <w:r w:rsidRPr="00473184">
        <w:rPr>
          <w:rFonts w:ascii="Arial" w:hAnsi="Arial" w:cs="Arial"/>
        </w:rPr>
        <w:t xml:space="preserve">homes requiring improvement. The homes </w:t>
      </w:r>
      <w:r w:rsidR="008F7657">
        <w:rPr>
          <w:rFonts w:ascii="Arial" w:hAnsi="Arial" w:cs="Arial"/>
        </w:rPr>
        <w:t xml:space="preserve">currently rated as </w:t>
      </w:r>
      <w:r w:rsidRPr="00473184">
        <w:rPr>
          <w:rFonts w:ascii="Arial" w:hAnsi="Arial" w:cs="Arial"/>
        </w:rPr>
        <w:t xml:space="preserve">requiring improvement are Castleford, </w:t>
      </w:r>
      <w:proofErr w:type="spellStart"/>
      <w:r w:rsidRPr="00473184">
        <w:rPr>
          <w:rFonts w:ascii="Arial" w:hAnsi="Arial" w:cs="Arial"/>
        </w:rPr>
        <w:t>Dolphinlee</w:t>
      </w:r>
      <w:proofErr w:type="spellEnd"/>
      <w:r w:rsidRPr="00473184">
        <w:rPr>
          <w:rFonts w:ascii="Arial" w:hAnsi="Arial" w:cs="Arial"/>
        </w:rPr>
        <w:t xml:space="preserve"> and Woodlands. These inspections took place in 2019 and the themes across the homes identified </w:t>
      </w:r>
      <w:r w:rsidR="00A666B3">
        <w:rPr>
          <w:rFonts w:ascii="Arial" w:hAnsi="Arial" w:cs="Arial"/>
        </w:rPr>
        <w:t>issues with record keeping, responsiveness to call bells</w:t>
      </w:r>
      <w:r w:rsidRPr="00473184">
        <w:rPr>
          <w:rFonts w:ascii="Arial" w:hAnsi="Arial" w:cs="Arial"/>
        </w:rPr>
        <w:t xml:space="preserve">, </w:t>
      </w:r>
      <w:r w:rsidR="00A666B3">
        <w:rPr>
          <w:rFonts w:ascii="Arial" w:hAnsi="Arial" w:cs="Arial"/>
        </w:rPr>
        <w:t xml:space="preserve">staff skill mix, </w:t>
      </w:r>
      <w:r w:rsidRPr="00473184">
        <w:rPr>
          <w:rFonts w:ascii="Arial" w:hAnsi="Arial" w:cs="Arial"/>
        </w:rPr>
        <w:t>staff shortages, quality assurance processes, handling of medicines and service management and leadership. Actions have been put in place to address these issues and resolve any behaviours identified.</w:t>
      </w:r>
      <w:r w:rsidRPr="00473184">
        <w:rPr>
          <w:rFonts w:ascii="Arial" w:hAnsi="Arial" w:cs="Arial"/>
          <w:b/>
          <w:bCs/>
          <w:color w:val="FF0000"/>
        </w:rPr>
        <w:t xml:space="preserve">  </w:t>
      </w:r>
    </w:p>
    <w:p w14:paraId="7B58BED5" w14:textId="71F227DC" w:rsidR="002B0DBD" w:rsidRDefault="002B0DBD" w:rsidP="00BE0C2C">
      <w:pPr>
        <w:rPr>
          <w:rFonts w:cs="Arial"/>
          <w:sz w:val="22"/>
          <w:szCs w:val="22"/>
        </w:rPr>
      </w:pPr>
    </w:p>
    <w:p w14:paraId="71F022AC" w14:textId="1A675562" w:rsidR="008F7657" w:rsidRPr="002B0DBD" w:rsidRDefault="008F7657" w:rsidP="00BE0C2C">
      <w:pPr>
        <w:rPr>
          <w:rFonts w:cs="Arial"/>
          <w:sz w:val="22"/>
          <w:szCs w:val="22"/>
        </w:rPr>
      </w:pPr>
      <w:r>
        <w:rPr>
          <w:rFonts w:cs="Arial"/>
          <w:sz w:val="22"/>
          <w:szCs w:val="22"/>
        </w:rPr>
        <w:t>Lancashire County Council also maintains 8 residential short break services for people with disabilities, two are currently rated as outstanding and six as good.</w:t>
      </w:r>
    </w:p>
    <w:p w14:paraId="4F05AED3" w14:textId="77777777" w:rsidR="00BE0C2C" w:rsidRPr="00BE0C2C" w:rsidRDefault="00BE0C2C" w:rsidP="00BE0C2C">
      <w:pPr>
        <w:pStyle w:val="NoSpacing"/>
        <w:jc w:val="both"/>
        <w:rPr>
          <w:rFonts w:ascii="Arial" w:hAnsi="Arial" w:cs="Arial"/>
          <w:lang w:eastAsia="en-GB"/>
        </w:rPr>
      </w:pPr>
    </w:p>
    <w:p w14:paraId="42690C1E" w14:textId="2951BA63" w:rsidR="003526D1" w:rsidRPr="00BE0C2C" w:rsidRDefault="00BE0C2C" w:rsidP="003526D1">
      <w:pPr>
        <w:pStyle w:val="CommentText"/>
        <w:spacing w:after="0"/>
        <w:rPr>
          <w:rFonts w:cs="Arial"/>
          <w:color w:val="auto"/>
          <w:sz w:val="22"/>
          <w:szCs w:val="22"/>
        </w:rPr>
      </w:pPr>
      <w:r w:rsidRPr="00BE0C2C">
        <w:rPr>
          <w:rFonts w:cs="Arial"/>
          <w:b/>
          <w:bCs/>
          <w:sz w:val="22"/>
          <w:szCs w:val="22"/>
        </w:rPr>
        <w:t>Quality of community service providers.</w:t>
      </w:r>
      <w:r w:rsidRPr="00BE0C2C">
        <w:rPr>
          <w:rFonts w:cs="Arial"/>
          <w:sz w:val="22"/>
          <w:szCs w:val="22"/>
        </w:rPr>
        <w:t> </w:t>
      </w:r>
      <w:r w:rsidR="008D3C59">
        <w:rPr>
          <w:rFonts w:cs="Arial"/>
          <w:sz w:val="22"/>
          <w:szCs w:val="22"/>
        </w:rPr>
        <w:t>Community care providers help people to live independently by offering care and support for people with learning disabilities, acute or chronic conditions, mental health needs or substance misuse problems.  Across Lancashire, almost 96% of community care providers were rated as good or outstanding by the CQC, which is better than national performance</w:t>
      </w:r>
      <w:r w:rsidR="003526D1">
        <w:rPr>
          <w:rFonts w:cs="Arial"/>
          <w:sz w:val="22"/>
          <w:szCs w:val="22"/>
        </w:rPr>
        <w:t xml:space="preserve"> (88%)</w:t>
      </w:r>
      <w:r w:rsidR="008D3C59">
        <w:rPr>
          <w:rFonts w:cs="Arial"/>
          <w:sz w:val="22"/>
          <w:szCs w:val="22"/>
        </w:rPr>
        <w:t>.</w:t>
      </w:r>
      <w:r w:rsidR="003526D1">
        <w:rPr>
          <w:rFonts w:cs="Arial"/>
          <w:sz w:val="22"/>
          <w:szCs w:val="22"/>
        </w:rPr>
        <w:t xml:space="preserve">  LCC maintains 9 community care providers, 8 of which are supported living services and are all rated as good. The 'Shared Lives' service </w:t>
      </w:r>
      <w:r w:rsidR="003526D1" w:rsidRPr="00BE0C2C">
        <w:rPr>
          <w:rFonts w:cs="Arial"/>
          <w:color w:val="auto"/>
          <w:sz w:val="22"/>
          <w:szCs w:val="22"/>
        </w:rPr>
        <w:t>matches adults with learning disabilities, physical disabilities, older people and/or mental health needs with carers and their families, to live within their home</w:t>
      </w:r>
      <w:r w:rsidR="003526D1">
        <w:rPr>
          <w:rFonts w:cs="Arial"/>
          <w:color w:val="auto"/>
          <w:sz w:val="22"/>
          <w:szCs w:val="22"/>
        </w:rPr>
        <w:t>, and become part of their family. The people living in Shared Lives continue to see their own family and friends as much as they want.  This service is the largest in the country and is rated outstanding by CQC.</w:t>
      </w:r>
    </w:p>
    <w:p w14:paraId="7D3EC5FD" w14:textId="5302A261" w:rsidR="008D3C59" w:rsidRDefault="008D3C59" w:rsidP="00BE0C2C">
      <w:pPr>
        <w:pStyle w:val="CommentText"/>
        <w:spacing w:after="0"/>
        <w:rPr>
          <w:rFonts w:cs="Arial"/>
          <w:sz w:val="22"/>
          <w:szCs w:val="22"/>
        </w:rPr>
      </w:pPr>
    </w:p>
    <w:p w14:paraId="33796E81" w14:textId="27D70C56" w:rsidR="00BE0C2C" w:rsidRPr="00BE0C2C" w:rsidRDefault="00BE0C2C" w:rsidP="00BE0C2C">
      <w:pPr>
        <w:pStyle w:val="CommentText"/>
        <w:spacing w:after="0"/>
        <w:rPr>
          <w:rFonts w:cs="Arial"/>
          <w:color w:val="auto"/>
          <w:sz w:val="22"/>
          <w:szCs w:val="22"/>
        </w:rPr>
      </w:pPr>
      <w:r w:rsidRPr="00BE0C2C">
        <w:rPr>
          <w:rFonts w:cs="Arial"/>
          <w:color w:val="auto"/>
          <w:sz w:val="22"/>
          <w:szCs w:val="22"/>
        </w:rPr>
        <w:t xml:space="preserve">Inspections of community providers has significantly decreased across the </w:t>
      </w:r>
      <w:r w:rsidR="003526D1">
        <w:rPr>
          <w:rFonts w:cs="Arial"/>
          <w:color w:val="auto"/>
          <w:sz w:val="22"/>
          <w:szCs w:val="22"/>
        </w:rPr>
        <w:t>c</w:t>
      </w:r>
      <w:r w:rsidRPr="00BE0C2C">
        <w:rPr>
          <w:rFonts w:cs="Arial"/>
          <w:color w:val="auto"/>
          <w:sz w:val="22"/>
          <w:szCs w:val="22"/>
        </w:rPr>
        <w:t xml:space="preserve">ountry </w:t>
      </w:r>
      <w:r w:rsidR="003526D1">
        <w:rPr>
          <w:rFonts w:cs="Arial"/>
          <w:color w:val="auto"/>
          <w:sz w:val="22"/>
          <w:szCs w:val="22"/>
        </w:rPr>
        <w:t>due to the</w:t>
      </w:r>
      <w:r w:rsidRPr="00BE0C2C">
        <w:rPr>
          <w:rFonts w:cs="Arial"/>
          <w:color w:val="auto"/>
          <w:sz w:val="22"/>
          <w:szCs w:val="22"/>
        </w:rPr>
        <w:t xml:space="preserve"> pandemic, with only 11 inspections being published throughout Lancashire </w:t>
      </w:r>
      <w:r w:rsidR="003526D1">
        <w:rPr>
          <w:rFonts w:cs="Arial"/>
          <w:color w:val="auto"/>
          <w:sz w:val="22"/>
          <w:szCs w:val="22"/>
        </w:rPr>
        <w:t xml:space="preserve">in the year to </w:t>
      </w:r>
      <w:r w:rsidRPr="00BE0C2C">
        <w:rPr>
          <w:rFonts w:cs="Arial"/>
          <w:color w:val="auto"/>
          <w:sz w:val="22"/>
          <w:szCs w:val="22"/>
        </w:rPr>
        <w:t>March 2021(compared to 63 in the same period in 2019/20), of which only 1 was LCC maintained. This was Preston Domiciliary Service which was graded as 'Good'.</w:t>
      </w:r>
    </w:p>
    <w:p w14:paraId="54910A67" w14:textId="77777777" w:rsidR="00BE0C2C" w:rsidRPr="00BE0C2C" w:rsidRDefault="00BE0C2C" w:rsidP="00BE0C2C">
      <w:pPr>
        <w:pStyle w:val="CommentText"/>
        <w:spacing w:after="0"/>
        <w:rPr>
          <w:rFonts w:cs="Arial"/>
          <w:color w:val="auto"/>
          <w:sz w:val="22"/>
          <w:szCs w:val="22"/>
        </w:rPr>
      </w:pPr>
    </w:p>
    <w:p w14:paraId="2E0550D0" w14:textId="4B193EA3" w:rsidR="00020A1B" w:rsidRDefault="003526D1" w:rsidP="00020A1B">
      <w:pPr>
        <w:pStyle w:val="Heading2"/>
        <w:rPr>
          <w:szCs w:val="32"/>
        </w:rPr>
      </w:pPr>
      <w:r>
        <w:rPr>
          <w:szCs w:val="32"/>
        </w:rPr>
        <w:lastRenderedPageBreak/>
        <w:t>L</w:t>
      </w:r>
      <w:r w:rsidR="00D85B53" w:rsidRPr="0085231B">
        <w:rPr>
          <w:szCs w:val="32"/>
        </w:rPr>
        <w:t>ancashire will be the place to work</w:t>
      </w:r>
    </w:p>
    <w:tbl>
      <w:tblPr>
        <w:tblW w:w="13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333"/>
        <w:gridCol w:w="1599"/>
        <w:gridCol w:w="927"/>
        <w:gridCol w:w="1199"/>
        <w:gridCol w:w="1332"/>
        <w:gridCol w:w="1259"/>
        <w:gridCol w:w="1276"/>
        <w:gridCol w:w="1728"/>
        <w:gridCol w:w="1199"/>
      </w:tblGrid>
      <w:tr w:rsidR="00931587" w:rsidRPr="00AB547C" w14:paraId="741BC879" w14:textId="77777777" w:rsidTr="000B18DF">
        <w:trPr>
          <w:trHeight w:val="708"/>
        </w:trPr>
        <w:tc>
          <w:tcPr>
            <w:tcW w:w="2132" w:type="dxa"/>
            <w:tcBorders>
              <w:top w:val="single" w:sz="4" w:space="0" w:color="auto"/>
              <w:left w:val="single" w:sz="4" w:space="0" w:color="auto"/>
              <w:bottom w:val="single" w:sz="4" w:space="0" w:color="auto"/>
              <w:right w:val="single" w:sz="4" w:space="0" w:color="auto"/>
            </w:tcBorders>
            <w:hideMark/>
          </w:tcPr>
          <w:p w14:paraId="10E25B9A" w14:textId="77777777" w:rsidR="00931587" w:rsidRPr="005669BE" w:rsidRDefault="00931587" w:rsidP="00BE6BC7">
            <w:pPr>
              <w:pStyle w:val="NoSpacing"/>
              <w:rPr>
                <w:rFonts w:ascii="Arial" w:hAnsi="Arial" w:cs="Arial"/>
                <w:b/>
                <w:highlight w:val="yellow"/>
              </w:rPr>
            </w:pPr>
            <w:bookmarkStart w:id="1" w:name="_Hlk74313838"/>
            <w:r w:rsidRPr="00FA30B2">
              <w:rPr>
                <w:rFonts w:ascii="Arial" w:hAnsi="Arial" w:cs="Arial"/>
                <w:b/>
              </w:rPr>
              <w:t>Performance Indicator</w:t>
            </w:r>
          </w:p>
        </w:tc>
        <w:tc>
          <w:tcPr>
            <w:tcW w:w="1333" w:type="dxa"/>
            <w:tcBorders>
              <w:top w:val="single" w:sz="4" w:space="0" w:color="auto"/>
              <w:left w:val="single" w:sz="4" w:space="0" w:color="auto"/>
              <w:bottom w:val="single" w:sz="4" w:space="0" w:color="auto"/>
              <w:right w:val="single" w:sz="4" w:space="0" w:color="auto"/>
            </w:tcBorders>
            <w:hideMark/>
          </w:tcPr>
          <w:p w14:paraId="56E0D4B2" w14:textId="77777777" w:rsidR="00931587" w:rsidRPr="005669BE" w:rsidRDefault="00931587" w:rsidP="00BE6BC7">
            <w:pPr>
              <w:pStyle w:val="NoSpacing"/>
              <w:rPr>
                <w:rFonts w:ascii="Arial" w:hAnsi="Arial" w:cs="Arial"/>
                <w:b/>
                <w:highlight w:val="yellow"/>
              </w:rPr>
            </w:pPr>
            <w:r w:rsidRPr="00FA30B2">
              <w:rPr>
                <w:rFonts w:ascii="Arial" w:hAnsi="Arial" w:cs="Arial"/>
                <w:b/>
              </w:rPr>
              <w:t>Frequency</w:t>
            </w:r>
          </w:p>
        </w:tc>
        <w:tc>
          <w:tcPr>
            <w:tcW w:w="1599" w:type="dxa"/>
            <w:tcBorders>
              <w:top w:val="single" w:sz="4" w:space="0" w:color="auto"/>
              <w:left w:val="single" w:sz="4" w:space="0" w:color="auto"/>
              <w:bottom w:val="single" w:sz="4" w:space="0" w:color="auto"/>
              <w:right w:val="single" w:sz="4" w:space="0" w:color="auto"/>
            </w:tcBorders>
          </w:tcPr>
          <w:p w14:paraId="0A4CA1E2" w14:textId="77777777" w:rsidR="00931587" w:rsidRPr="005669BE" w:rsidRDefault="00931587" w:rsidP="00BE6BC7">
            <w:pPr>
              <w:pStyle w:val="NoSpacing"/>
              <w:rPr>
                <w:rFonts w:ascii="Arial" w:hAnsi="Arial" w:cs="Arial"/>
                <w:b/>
                <w:highlight w:val="yellow"/>
              </w:rPr>
            </w:pPr>
            <w:r w:rsidRPr="00FA30B2">
              <w:rPr>
                <w:rFonts w:ascii="Arial" w:hAnsi="Arial" w:cs="Arial"/>
                <w:b/>
              </w:rPr>
              <w:t xml:space="preserve">Directorate </w:t>
            </w:r>
          </w:p>
        </w:tc>
        <w:tc>
          <w:tcPr>
            <w:tcW w:w="927" w:type="dxa"/>
            <w:tcBorders>
              <w:top w:val="single" w:sz="4" w:space="0" w:color="auto"/>
              <w:left w:val="single" w:sz="4" w:space="0" w:color="auto"/>
              <w:bottom w:val="single" w:sz="4" w:space="0" w:color="auto"/>
              <w:right w:val="single" w:sz="4" w:space="0" w:color="auto"/>
            </w:tcBorders>
          </w:tcPr>
          <w:p w14:paraId="38EB2030" w14:textId="77777777" w:rsidR="00931587" w:rsidRPr="005669BE" w:rsidRDefault="00931587" w:rsidP="00BE6BC7">
            <w:pPr>
              <w:pStyle w:val="NoSpacing"/>
              <w:rPr>
                <w:rFonts w:ascii="Arial" w:hAnsi="Arial" w:cs="Arial"/>
                <w:b/>
                <w:highlight w:val="yellow"/>
              </w:rPr>
            </w:pPr>
            <w:r>
              <w:rPr>
                <w:rFonts w:ascii="Arial" w:hAnsi="Arial" w:cs="Arial"/>
                <w:b/>
              </w:rPr>
              <w:t>Good is</w:t>
            </w:r>
          </w:p>
        </w:tc>
        <w:tc>
          <w:tcPr>
            <w:tcW w:w="1199" w:type="dxa"/>
            <w:tcBorders>
              <w:top w:val="single" w:sz="4" w:space="0" w:color="auto"/>
              <w:left w:val="single" w:sz="4" w:space="0" w:color="auto"/>
              <w:bottom w:val="single" w:sz="4" w:space="0" w:color="auto"/>
              <w:right w:val="single" w:sz="4" w:space="0" w:color="auto"/>
            </w:tcBorders>
          </w:tcPr>
          <w:p w14:paraId="2F3E970C" w14:textId="77777777" w:rsidR="00931587" w:rsidRPr="005669BE" w:rsidRDefault="00931587" w:rsidP="00BE6BC7">
            <w:pPr>
              <w:pStyle w:val="NoSpacing"/>
              <w:rPr>
                <w:rFonts w:ascii="Arial" w:hAnsi="Arial" w:cs="Arial"/>
                <w:b/>
                <w:highlight w:val="yellow"/>
              </w:rPr>
            </w:pPr>
            <w:r>
              <w:rPr>
                <w:rFonts w:ascii="Arial" w:hAnsi="Arial" w:cs="Arial"/>
                <w:b/>
              </w:rPr>
              <w:t>2019/20 Outturn</w:t>
            </w:r>
          </w:p>
        </w:tc>
        <w:tc>
          <w:tcPr>
            <w:tcW w:w="1332" w:type="dxa"/>
            <w:tcBorders>
              <w:top w:val="single" w:sz="4" w:space="0" w:color="auto"/>
              <w:left w:val="single" w:sz="4" w:space="0" w:color="auto"/>
              <w:bottom w:val="single" w:sz="4" w:space="0" w:color="auto"/>
              <w:right w:val="single" w:sz="4" w:space="0" w:color="auto"/>
            </w:tcBorders>
          </w:tcPr>
          <w:p w14:paraId="0F357763" w14:textId="77777777" w:rsidR="00931587" w:rsidRPr="005669BE" w:rsidRDefault="00931587" w:rsidP="00BE6BC7">
            <w:pPr>
              <w:pStyle w:val="NoSpacing"/>
              <w:rPr>
                <w:rFonts w:ascii="Arial" w:hAnsi="Arial" w:cs="Arial"/>
                <w:b/>
                <w:highlight w:val="yellow"/>
              </w:rPr>
            </w:pPr>
            <w:r>
              <w:rPr>
                <w:rFonts w:ascii="Arial" w:hAnsi="Arial" w:cs="Arial"/>
                <w:b/>
              </w:rPr>
              <w:t xml:space="preserve">2020/21 Quarter 1 </w:t>
            </w:r>
            <w:r w:rsidRPr="00F044C2">
              <w:rPr>
                <w:rFonts w:ascii="Arial" w:hAnsi="Arial" w:cs="Arial"/>
                <w:b/>
                <w:sz w:val="18"/>
              </w:rPr>
              <w:t>(April –June)</w:t>
            </w:r>
          </w:p>
        </w:tc>
        <w:tc>
          <w:tcPr>
            <w:tcW w:w="1259" w:type="dxa"/>
            <w:tcBorders>
              <w:top w:val="single" w:sz="4" w:space="0" w:color="auto"/>
              <w:left w:val="single" w:sz="4" w:space="0" w:color="auto"/>
              <w:bottom w:val="single" w:sz="4" w:space="0" w:color="auto"/>
              <w:right w:val="single" w:sz="4" w:space="0" w:color="auto"/>
            </w:tcBorders>
          </w:tcPr>
          <w:p w14:paraId="1131C425" w14:textId="1405BDB9" w:rsidR="00931587" w:rsidRPr="005669BE" w:rsidRDefault="00931587" w:rsidP="00BE6BC7">
            <w:pPr>
              <w:pStyle w:val="NoSpacing"/>
              <w:rPr>
                <w:rFonts w:ascii="Arial" w:hAnsi="Arial" w:cs="Arial"/>
                <w:b/>
                <w:highlight w:val="yellow"/>
              </w:rPr>
            </w:pPr>
            <w:r>
              <w:rPr>
                <w:rFonts w:ascii="Arial" w:hAnsi="Arial" w:cs="Arial"/>
                <w:b/>
              </w:rPr>
              <w:t xml:space="preserve">Quarter 2 </w:t>
            </w:r>
            <w:r w:rsidRPr="00F044C2">
              <w:rPr>
                <w:rFonts w:ascii="Arial" w:hAnsi="Arial" w:cs="Arial"/>
                <w:b/>
                <w:sz w:val="18"/>
              </w:rPr>
              <w:t>(July –September)</w:t>
            </w:r>
          </w:p>
        </w:tc>
        <w:tc>
          <w:tcPr>
            <w:tcW w:w="1276" w:type="dxa"/>
            <w:tcBorders>
              <w:top w:val="single" w:sz="4" w:space="0" w:color="auto"/>
              <w:left w:val="single" w:sz="4" w:space="0" w:color="auto"/>
              <w:bottom w:val="single" w:sz="4" w:space="0" w:color="auto"/>
              <w:right w:val="single" w:sz="4" w:space="0" w:color="auto"/>
            </w:tcBorders>
          </w:tcPr>
          <w:p w14:paraId="3D3E753E" w14:textId="77777777" w:rsidR="00931587" w:rsidRPr="005669BE" w:rsidRDefault="00931587" w:rsidP="00BE6BC7">
            <w:pPr>
              <w:pStyle w:val="NoSpacing"/>
              <w:rPr>
                <w:rFonts w:ascii="Arial" w:hAnsi="Arial" w:cs="Arial"/>
                <w:b/>
                <w:highlight w:val="yellow"/>
              </w:rPr>
            </w:pPr>
            <w:r>
              <w:rPr>
                <w:rFonts w:ascii="Arial" w:hAnsi="Arial" w:cs="Arial"/>
                <w:b/>
              </w:rPr>
              <w:t xml:space="preserve">Quarter 3 </w:t>
            </w:r>
            <w:r w:rsidRPr="00F044C2">
              <w:rPr>
                <w:rFonts w:ascii="Arial" w:hAnsi="Arial" w:cs="Arial"/>
                <w:b/>
                <w:sz w:val="18"/>
              </w:rPr>
              <w:t>(October - December)</w:t>
            </w:r>
            <w:r>
              <w:rPr>
                <w:rFonts w:ascii="Arial" w:hAnsi="Arial" w:cs="Arial"/>
                <w:b/>
                <w:sz w:val="18"/>
              </w:rPr>
              <w:t xml:space="preserve"> – </w:t>
            </w:r>
          </w:p>
        </w:tc>
        <w:tc>
          <w:tcPr>
            <w:tcW w:w="1728" w:type="dxa"/>
            <w:tcBorders>
              <w:top w:val="single" w:sz="4" w:space="0" w:color="auto"/>
              <w:left w:val="single" w:sz="4" w:space="0" w:color="auto"/>
              <w:bottom w:val="single" w:sz="4" w:space="0" w:color="auto"/>
              <w:right w:val="single" w:sz="4" w:space="0" w:color="auto"/>
            </w:tcBorders>
          </w:tcPr>
          <w:p w14:paraId="20248F09" w14:textId="3EF93D0F" w:rsidR="00931587" w:rsidRDefault="00931587" w:rsidP="00BE6BC7">
            <w:pPr>
              <w:pStyle w:val="NoSpacing"/>
              <w:rPr>
                <w:rFonts w:ascii="Arial" w:hAnsi="Arial" w:cs="Arial"/>
                <w:b/>
              </w:rPr>
            </w:pPr>
            <w:r>
              <w:rPr>
                <w:rFonts w:ascii="Arial" w:hAnsi="Arial" w:cs="Arial"/>
                <w:b/>
              </w:rPr>
              <w:t xml:space="preserve">Quarter 4 </w:t>
            </w:r>
            <w:r w:rsidRPr="00F044C2">
              <w:rPr>
                <w:rFonts w:ascii="Arial" w:hAnsi="Arial" w:cs="Arial"/>
                <w:b/>
                <w:sz w:val="18"/>
              </w:rPr>
              <w:t>(</w:t>
            </w:r>
            <w:r>
              <w:rPr>
                <w:rFonts w:ascii="Arial" w:hAnsi="Arial" w:cs="Arial"/>
                <w:b/>
                <w:sz w:val="18"/>
              </w:rPr>
              <w:t>January</w:t>
            </w:r>
            <w:r w:rsidRPr="00F044C2">
              <w:rPr>
                <w:rFonts w:ascii="Arial" w:hAnsi="Arial" w:cs="Arial"/>
                <w:b/>
                <w:sz w:val="18"/>
              </w:rPr>
              <w:t xml:space="preserve"> </w:t>
            </w:r>
            <w:r>
              <w:rPr>
                <w:rFonts w:ascii="Arial" w:hAnsi="Arial" w:cs="Arial"/>
                <w:b/>
                <w:sz w:val="18"/>
              </w:rPr>
              <w:t>–</w:t>
            </w:r>
            <w:r w:rsidRPr="00F044C2">
              <w:rPr>
                <w:rFonts w:ascii="Arial" w:hAnsi="Arial" w:cs="Arial"/>
                <w:b/>
                <w:sz w:val="18"/>
              </w:rPr>
              <w:t xml:space="preserve"> </w:t>
            </w:r>
            <w:r>
              <w:rPr>
                <w:rFonts w:ascii="Arial" w:hAnsi="Arial" w:cs="Arial"/>
                <w:b/>
                <w:sz w:val="18"/>
              </w:rPr>
              <w:t>March</w:t>
            </w:r>
            <w:r w:rsidRPr="00F044C2">
              <w:rPr>
                <w:rFonts w:ascii="Arial" w:hAnsi="Arial" w:cs="Arial"/>
                <w:b/>
                <w:sz w:val="18"/>
              </w:rPr>
              <w:t>)</w:t>
            </w:r>
            <w:r>
              <w:rPr>
                <w:rFonts w:ascii="Arial" w:hAnsi="Arial" w:cs="Arial"/>
                <w:b/>
                <w:sz w:val="18"/>
              </w:rPr>
              <w:t xml:space="preserve"> with cumulative figures shown in brackets</w:t>
            </w:r>
          </w:p>
        </w:tc>
        <w:tc>
          <w:tcPr>
            <w:tcW w:w="1199" w:type="dxa"/>
            <w:tcBorders>
              <w:top w:val="single" w:sz="4" w:space="0" w:color="auto"/>
              <w:left w:val="single" w:sz="4" w:space="0" w:color="auto"/>
              <w:bottom w:val="single" w:sz="4" w:space="0" w:color="auto"/>
              <w:right w:val="single" w:sz="4" w:space="0" w:color="auto"/>
            </w:tcBorders>
          </w:tcPr>
          <w:p w14:paraId="359018FF" w14:textId="77777777" w:rsidR="00931587" w:rsidRPr="005669BE" w:rsidRDefault="00931587" w:rsidP="00BE6BC7">
            <w:pPr>
              <w:pStyle w:val="NoSpacing"/>
              <w:rPr>
                <w:rFonts w:ascii="Arial" w:hAnsi="Arial" w:cs="Arial"/>
                <w:b/>
                <w:highlight w:val="yellow"/>
              </w:rPr>
            </w:pPr>
            <w:r>
              <w:rPr>
                <w:rFonts w:ascii="Arial" w:hAnsi="Arial" w:cs="Arial"/>
                <w:b/>
              </w:rPr>
              <w:t>2020/21</w:t>
            </w:r>
            <w:r w:rsidRPr="00FA30B2">
              <w:rPr>
                <w:rFonts w:ascii="Arial" w:hAnsi="Arial" w:cs="Arial"/>
                <w:b/>
              </w:rPr>
              <w:t xml:space="preserve"> Target</w:t>
            </w:r>
          </w:p>
        </w:tc>
      </w:tr>
      <w:bookmarkEnd w:id="1"/>
      <w:tr w:rsidR="00931587" w:rsidRPr="00AB547C" w14:paraId="26FD854D" w14:textId="77777777" w:rsidTr="000B18DF">
        <w:trPr>
          <w:trHeight w:val="1562"/>
        </w:trPr>
        <w:tc>
          <w:tcPr>
            <w:tcW w:w="2132" w:type="dxa"/>
            <w:tcBorders>
              <w:top w:val="single" w:sz="4" w:space="0" w:color="auto"/>
              <w:left w:val="single" w:sz="4" w:space="0" w:color="auto"/>
              <w:bottom w:val="single" w:sz="4" w:space="0" w:color="auto"/>
              <w:right w:val="single" w:sz="4" w:space="0" w:color="auto"/>
            </w:tcBorders>
          </w:tcPr>
          <w:p w14:paraId="68E6C1FD" w14:textId="77777777" w:rsidR="00931587" w:rsidRPr="00AB547C" w:rsidRDefault="00931587" w:rsidP="00BE6BC7">
            <w:pPr>
              <w:pStyle w:val="NoSpacing"/>
              <w:rPr>
                <w:rFonts w:ascii="Arial" w:hAnsi="Arial" w:cs="Arial"/>
              </w:rPr>
            </w:pPr>
            <w:r w:rsidRPr="00AB547C">
              <w:rPr>
                <w:rFonts w:ascii="Arial" w:hAnsi="Arial" w:cs="Arial"/>
              </w:rPr>
              <w:t>Number of visits to libraries (annual cumulative indicator)</w:t>
            </w:r>
          </w:p>
        </w:tc>
        <w:tc>
          <w:tcPr>
            <w:tcW w:w="1333" w:type="dxa"/>
            <w:tcBorders>
              <w:top w:val="single" w:sz="4" w:space="0" w:color="auto"/>
              <w:left w:val="single" w:sz="4" w:space="0" w:color="auto"/>
              <w:bottom w:val="single" w:sz="4" w:space="0" w:color="auto"/>
              <w:right w:val="single" w:sz="4" w:space="0" w:color="auto"/>
            </w:tcBorders>
          </w:tcPr>
          <w:p w14:paraId="77AD06CF" w14:textId="77777777" w:rsidR="00931587" w:rsidRPr="00AB547C" w:rsidRDefault="00931587" w:rsidP="00BE6BC7">
            <w:pPr>
              <w:pStyle w:val="NoSpacing"/>
              <w:rPr>
                <w:rFonts w:ascii="Arial" w:hAnsi="Arial" w:cs="Arial"/>
              </w:rPr>
            </w:pPr>
            <w:r w:rsidRPr="00AB547C">
              <w:rPr>
                <w:rFonts w:ascii="Arial" w:hAnsi="Arial" w:cs="Arial"/>
              </w:rPr>
              <w:t>Quarterly</w:t>
            </w:r>
          </w:p>
        </w:tc>
        <w:tc>
          <w:tcPr>
            <w:tcW w:w="1599" w:type="dxa"/>
            <w:tcBorders>
              <w:top w:val="single" w:sz="4" w:space="0" w:color="auto"/>
              <w:left w:val="single" w:sz="4" w:space="0" w:color="auto"/>
              <w:bottom w:val="single" w:sz="4" w:space="0" w:color="auto"/>
              <w:right w:val="single" w:sz="4" w:space="0" w:color="auto"/>
            </w:tcBorders>
          </w:tcPr>
          <w:p w14:paraId="43EB35B9" w14:textId="77777777" w:rsidR="00931587" w:rsidRPr="00AB547C" w:rsidRDefault="00931587" w:rsidP="00BE6BC7">
            <w:pPr>
              <w:pStyle w:val="NoSpacing"/>
              <w:rPr>
                <w:rFonts w:ascii="Arial" w:hAnsi="Arial" w:cs="Arial"/>
              </w:rPr>
            </w:pPr>
            <w:r w:rsidRPr="00AB547C">
              <w:rPr>
                <w:rFonts w:ascii="Arial" w:hAnsi="Arial" w:cs="Arial"/>
              </w:rPr>
              <w:t>Education and Children's Services</w:t>
            </w:r>
          </w:p>
        </w:tc>
        <w:tc>
          <w:tcPr>
            <w:tcW w:w="927" w:type="dxa"/>
            <w:tcBorders>
              <w:top w:val="single" w:sz="4" w:space="0" w:color="auto"/>
              <w:left w:val="single" w:sz="4" w:space="0" w:color="auto"/>
              <w:bottom w:val="single" w:sz="4" w:space="0" w:color="auto"/>
              <w:right w:val="single" w:sz="4" w:space="0" w:color="auto"/>
            </w:tcBorders>
          </w:tcPr>
          <w:p w14:paraId="3178E43B" w14:textId="77777777" w:rsidR="00931587" w:rsidRPr="00AB547C" w:rsidRDefault="00931587" w:rsidP="00BE6BC7">
            <w:pPr>
              <w:pStyle w:val="NoSpacing"/>
              <w:rPr>
                <w:rFonts w:ascii="Arial" w:hAnsi="Arial" w:cs="Arial"/>
              </w:rPr>
            </w:pPr>
            <w:r w:rsidRPr="00AB547C">
              <w:rPr>
                <w:rFonts w:ascii="Arial" w:hAnsi="Arial" w:cs="Arial"/>
              </w:rPr>
              <w:t>High</w:t>
            </w:r>
          </w:p>
        </w:tc>
        <w:tc>
          <w:tcPr>
            <w:tcW w:w="119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D8861A" w14:textId="77777777" w:rsidR="00931587" w:rsidRPr="00AB547C" w:rsidRDefault="00931587" w:rsidP="00BE6BC7">
            <w:pPr>
              <w:pStyle w:val="NoSpacing"/>
              <w:jc w:val="center"/>
              <w:rPr>
                <w:rFonts w:ascii="Arial" w:hAnsi="Arial" w:cs="Arial"/>
              </w:rPr>
            </w:pPr>
            <w:r w:rsidRPr="00AB547C">
              <w:rPr>
                <w:rFonts w:ascii="Arial" w:hAnsi="Arial" w:cs="Arial"/>
              </w:rPr>
              <w:t>3,486,877 (2019/20)</w:t>
            </w:r>
          </w:p>
          <w:p w14:paraId="5E9D3EAD" w14:textId="77777777" w:rsidR="00931587" w:rsidRPr="00AB547C" w:rsidRDefault="00931587" w:rsidP="00BE6BC7">
            <w:pPr>
              <w:pStyle w:val="NoSpacing"/>
              <w:jc w:val="center"/>
              <w:rPr>
                <w:rFonts w:ascii="Arial" w:hAnsi="Arial" w:cs="Arial"/>
              </w:rPr>
            </w:pPr>
          </w:p>
          <w:p w14:paraId="517A6BA2" w14:textId="77777777" w:rsidR="00931587" w:rsidRPr="00AB547C" w:rsidRDefault="00931587" w:rsidP="00BE6BC7">
            <w:pPr>
              <w:pStyle w:val="NoSpacing"/>
              <w:jc w:val="center"/>
              <w:rPr>
                <w:rFonts w:ascii="Arial"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FF0000"/>
          </w:tcPr>
          <w:p w14:paraId="607FF832" w14:textId="77777777" w:rsidR="00931587" w:rsidRPr="00AB547C" w:rsidRDefault="00931587" w:rsidP="00BE6BC7">
            <w:r w:rsidRPr="00AB547C">
              <w:t>3,977</w:t>
            </w:r>
          </w:p>
        </w:tc>
        <w:tc>
          <w:tcPr>
            <w:tcW w:w="1259" w:type="dxa"/>
            <w:tcBorders>
              <w:top w:val="single" w:sz="4" w:space="0" w:color="auto"/>
              <w:left w:val="single" w:sz="4" w:space="0" w:color="auto"/>
              <w:bottom w:val="single" w:sz="4" w:space="0" w:color="auto"/>
              <w:right w:val="single" w:sz="4" w:space="0" w:color="auto"/>
            </w:tcBorders>
            <w:shd w:val="clear" w:color="auto" w:fill="FF0000"/>
          </w:tcPr>
          <w:p w14:paraId="286187E8" w14:textId="77777777" w:rsidR="00931587" w:rsidRPr="00AB547C" w:rsidRDefault="00931587" w:rsidP="00BE6BC7">
            <w:r w:rsidRPr="00AB547C">
              <w:t>144,258</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40A79EC8" w14:textId="77777777" w:rsidR="00931587" w:rsidRPr="00AB547C" w:rsidRDefault="00931587" w:rsidP="00BE6BC7">
            <w:pPr>
              <w:jc w:val="center"/>
              <w:rPr>
                <w:sz w:val="22"/>
                <w:szCs w:val="22"/>
              </w:rPr>
            </w:pPr>
            <w:r w:rsidRPr="00AB547C">
              <w:rPr>
                <w:sz w:val="22"/>
                <w:szCs w:val="22"/>
              </w:rPr>
              <w:t>220,325 (368,560)</w:t>
            </w:r>
          </w:p>
        </w:tc>
        <w:tc>
          <w:tcPr>
            <w:tcW w:w="1728" w:type="dxa"/>
            <w:tcBorders>
              <w:top w:val="single" w:sz="4" w:space="0" w:color="auto"/>
              <w:left w:val="single" w:sz="4" w:space="0" w:color="auto"/>
              <w:bottom w:val="single" w:sz="4" w:space="0" w:color="auto"/>
              <w:right w:val="single" w:sz="4" w:space="0" w:color="auto"/>
            </w:tcBorders>
            <w:shd w:val="clear" w:color="auto" w:fill="FF0000"/>
          </w:tcPr>
          <w:p w14:paraId="79832DC7" w14:textId="77777777" w:rsidR="00931587" w:rsidRPr="00AB547C" w:rsidRDefault="00931587" w:rsidP="00BE6BC7">
            <w:pPr>
              <w:jc w:val="center"/>
              <w:rPr>
                <w:rFonts w:cs="Arial"/>
                <w:sz w:val="22"/>
                <w:szCs w:val="22"/>
              </w:rPr>
            </w:pPr>
            <w:r>
              <w:rPr>
                <w:sz w:val="22"/>
                <w:szCs w:val="22"/>
              </w:rPr>
              <w:t>109,421</w:t>
            </w:r>
            <w:r w:rsidRPr="00AB547C">
              <w:rPr>
                <w:sz w:val="22"/>
                <w:szCs w:val="22"/>
              </w:rPr>
              <w:t xml:space="preserve"> (</w:t>
            </w:r>
            <w:r>
              <w:rPr>
                <w:sz w:val="22"/>
                <w:szCs w:val="22"/>
              </w:rPr>
              <w:t>477</w:t>
            </w:r>
            <w:r w:rsidRPr="00AB547C">
              <w:rPr>
                <w:sz w:val="22"/>
                <w:szCs w:val="22"/>
              </w:rPr>
              <w:t>,</w:t>
            </w:r>
            <w:r>
              <w:rPr>
                <w:sz w:val="22"/>
                <w:szCs w:val="22"/>
              </w:rPr>
              <w:t>981</w:t>
            </w:r>
            <w:r w:rsidRPr="00AB547C">
              <w:rPr>
                <w:sz w:val="22"/>
                <w:szCs w:val="22"/>
              </w:rP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880244E" w14:textId="77777777" w:rsidR="00931587" w:rsidRPr="00AB547C" w:rsidRDefault="00931587" w:rsidP="00BE6BC7">
            <w:pPr>
              <w:jc w:val="center"/>
              <w:rPr>
                <w:sz w:val="22"/>
                <w:szCs w:val="22"/>
              </w:rPr>
            </w:pPr>
            <w:r w:rsidRPr="00AB547C">
              <w:rPr>
                <w:rFonts w:cs="Arial"/>
                <w:sz w:val="22"/>
                <w:szCs w:val="22"/>
              </w:rPr>
              <w:t>4,000,000</w:t>
            </w:r>
            <w:r w:rsidRPr="00AB547C">
              <w:rPr>
                <w:rFonts w:cs="Arial"/>
                <w:sz w:val="22"/>
                <w:szCs w:val="22"/>
              </w:rPr>
              <w:br/>
            </w:r>
          </w:p>
        </w:tc>
      </w:tr>
      <w:tr w:rsidR="00931587" w:rsidRPr="00AB547C" w14:paraId="72DF903E" w14:textId="77777777" w:rsidTr="000B18DF">
        <w:trPr>
          <w:trHeight w:val="1072"/>
        </w:trPr>
        <w:tc>
          <w:tcPr>
            <w:tcW w:w="2132" w:type="dxa"/>
            <w:tcBorders>
              <w:top w:val="single" w:sz="4" w:space="0" w:color="auto"/>
              <w:left w:val="single" w:sz="4" w:space="0" w:color="auto"/>
              <w:bottom w:val="single" w:sz="4" w:space="0" w:color="auto"/>
              <w:right w:val="single" w:sz="4" w:space="0" w:color="auto"/>
            </w:tcBorders>
          </w:tcPr>
          <w:p w14:paraId="66EFA0F4" w14:textId="77777777" w:rsidR="00931587" w:rsidRPr="00AB547C" w:rsidRDefault="00931587" w:rsidP="00BE6BC7">
            <w:pPr>
              <w:pStyle w:val="NoSpacing"/>
              <w:rPr>
                <w:rFonts w:ascii="Arial" w:hAnsi="Arial" w:cs="Arial"/>
              </w:rPr>
            </w:pPr>
            <w:r w:rsidRPr="00AB547C">
              <w:rPr>
                <w:rFonts w:ascii="Arial" w:hAnsi="Arial" w:cs="Arial"/>
              </w:rPr>
              <w:t>Number of PNET sessions (annual cumulative indicator)</w:t>
            </w:r>
          </w:p>
        </w:tc>
        <w:tc>
          <w:tcPr>
            <w:tcW w:w="1333" w:type="dxa"/>
            <w:tcBorders>
              <w:top w:val="single" w:sz="4" w:space="0" w:color="auto"/>
              <w:left w:val="single" w:sz="4" w:space="0" w:color="auto"/>
              <w:bottom w:val="single" w:sz="4" w:space="0" w:color="auto"/>
              <w:right w:val="single" w:sz="4" w:space="0" w:color="auto"/>
            </w:tcBorders>
          </w:tcPr>
          <w:p w14:paraId="11FEA382" w14:textId="77777777" w:rsidR="00931587" w:rsidRPr="00AB547C" w:rsidRDefault="00931587" w:rsidP="00BE6BC7">
            <w:pPr>
              <w:pStyle w:val="NoSpacing"/>
              <w:rPr>
                <w:rFonts w:ascii="Arial" w:hAnsi="Arial" w:cs="Arial"/>
              </w:rPr>
            </w:pPr>
            <w:r w:rsidRPr="00AB547C">
              <w:rPr>
                <w:rFonts w:ascii="Arial" w:hAnsi="Arial" w:cs="Arial"/>
              </w:rPr>
              <w:t>Quarterly</w:t>
            </w:r>
          </w:p>
        </w:tc>
        <w:tc>
          <w:tcPr>
            <w:tcW w:w="1599" w:type="dxa"/>
            <w:tcBorders>
              <w:top w:val="single" w:sz="4" w:space="0" w:color="auto"/>
              <w:left w:val="single" w:sz="4" w:space="0" w:color="auto"/>
              <w:bottom w:val="single" w:sz="4" w:space="0" w:color="auto"/>
              <w:right w:val="single" w:sz="4" w:space="0" w:color="auto"/>
            </w:tcBorders>
          </w:tcPr>
          <w:p w14:paraId="70D37728" w14:textId="77777777" w:rsidR="00931587" w:rsidRPr="00AB547C" w:rsidRDefault="00931587" w:rsidP="00BE6BC7">
            <w:pPr>
              <w:pStyle w:val="NoSpacing"/>
              <w:rPr>
                <w:rFonts w:ascii="Arial" w:hAnsi="Arial" w:cs="Arial"/>
              </w:rPr>
            </w:pPr>
            <w:r w:rsidRPr="00AB547C">
              <w:rPr>
                <w:rFonts w:ascii="Arial" w:hAnsi="Arial" w:cs="Arial"/>
              </w:rPr>
              <w:t>Education and Children's Services</w:t>
            </w:r>
          </w:p>
        </w:tc>
        <w:tc>
          <w:tcPr>
            <w:tcW w:w="927" w:type="dxa"/>
            <w:tcBorders>
              <w:top w:val="single" w:sz="4" w:space="0" w:color="auto"/>
              <w:left w:val="single" w:sz="4" w:space="0" w:color="auto"/>
              <w:bottom w:val="single" w:sz="4" w:space="0" w:color="auto"/>
              <w:right w:val="single" w:sz="4" w:space="0" w:color="auto"/>
            </w:tcBorders>
          </w:tcPr>
          <w:p w14:paraId="7B8F3DED" w14:textId="77777777" w:rsidR="00931587" w:rsidRPr="00AB547C" w:rsidRDefault="00931587" w:rsidP="00BE6BC7">
            <w:pPr>
              <w:pStyle w:val="NoSpacing"/>
              <w:rPr>
                <w:rFonts w:ascii="Arial" w:hAnsi="Arial" w:cs="Arial"/>
              </w:rPr>
            </w:pPr>
            <w:r w:rsidRPr="00AB547C">
              <w:rPr>
                <w:rFonts w:ascii="Arial" w:hAnsi="Arial" w:cs="Arial"/>
              </w:rPr>
              <w:t>High</w:t>
            </w:r>
          </w:p>
        </w:tc>
        <w:tc>
          <w:tcPr>
            <w:tcW w:w="119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47ABCD" w14:textId="77777777" w:rsidR="00931587" w:rsidRPr="00AB547C" w:rsidRDefault="00931587" w:rsidP="00BE6BC7">
            <w:pPr>
              <w:pStyle w:val="NoSpacing"/>
              <w:jc w:val="center"/>
              <w:rPr>
                <w:rFonts w:ascii="Arial" w:hAnsi="Arial" w:cs="Arial"/>
              </w:rPr>
            </w:pPr>
            <w:r w:rsidRPr="00AB547C">
              <w:rPr>
                <w:rFonts w:ascii="Arial" w:hAnsi="Arial" w:cs="Arial"/>
              </w:rPr>
              <w:t>504,007 (2019/20)</w:t>
            </w:r>
          </w:p>
          <w:p w14:paraId="7596B74E" w14:textId="77777777" w:rsidR="00931587" w:rsidRPr="00AB547C" w:rsidRDefault="00931587" w:rsidP="00BE6BC7">
            <w:pPr>
              <w:pStyle w:val="NoSpacing"/>
              <w:jc w:val="center"/>
              <w:rPr>
                <w:rFonts w:ascii="Arial" w:hAnsi="Arial" w:cs="Arial"/>
              </w:rPr>
            </w:pPr>
          </w:p>
          <w:p w14:paraId="32031164" w14:textId="77777777" w:rsidR="00931587" w:rsidRPr="00AB547C" w:rsidRDefault="00931587" w:rsidP="00BE6BC7">
            <w:pPr>
              <w:pStyle w:val="NoSpacing"/>
              <w:jc w:val="center"/>
              <w:rPr>
                <w:rFonts w:ascii="Arial"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FF0000"/>
          </w:tcPr>
          <w:p w14:paraId="3ABEEC17" w14:textId="77777777" w:rsidR="00931587" w:rsidRPr="00AB547C" w:rsidRDefault="00931587" w:rsidP="00BE6BC7">
            <w:r w:rsidRPr="00AB547C">
              <w:t>3,536</w:t>
            </w:r>
          </w:p>
        </w:tc>
        <w:tc>
          <w:tcPr>
            <w:tcW w:w="1259" w:type="dxa"/>
            <w:tcBorders>
              <w:top w:val="single" w:sz="4" w:space="0" w:color="auto"/>
              <w:left w:val="single" w:sz="4" w:space="0" w:color="auto"/>
              <w:bottom w:val="single" w:sz="4" w:space="0" w:color="auto"/>
              <w:right w:val="single" w:sz="4" w:space="0" w:color="auto"/>
            </w:tcBorders>
            <w:shd w:val="clear" w:color="auto" w:fill="FF0000"/>
          </w:tcPr>
          <w:p w14:paraId="49740220" w14:textId="77777777" w:rsidR="00931587" w:rsidRPr="00AB547C" w:rsidRDefault="00931587" w:rsidP="00BE6BC7">
            <w:r w:rsidRPr="00AB547C">
              <w:t>10,780</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2826251" w14:textId="77777777" w:rsidR="00931587" w:rsidRPr="00AB547C" w:rsidRDefault="00931587" w:rsidP="00BE6BC7">
            <w:pPr>
              <w:pStyle w:val="NoSpacing"/>
              <w:jc w:val="center"/>
              <w:rPr>
                <w:rFonts w:ascii="Arial" w:hAnsi="Arial" w:cs="Arial"/>
              </w:rPr>
            </w:pPr>
            <w:r w:rsidRPr="00AB547C">
              <w:rPr>
                <w:rFonts w:ascii="Arial" w:hAnsi="Arial" w:cs="Arial"/>
              </w:rPr>
              <w:t>25,322 (39,638)</w:t>
            </w:r>
          </w:p>
        </w:tc>
        <w:tc>
          <w:tcPr>
            <w:tcW w:w="1728" w:type="dxa"/>
            <w:tcBorders>
              <w:top w:val="single" w:sz="4" w:space="0" w:color="auto"/>
              <w:left w:val="single" w:sz="4" w:space="0" w:color="auto"/>
              <w:bottom w:val="single" w:sz="4" w:space="0" w:color="auto"/>
              <w:right w:val="single" w:sz="4" w:space="0" w:color="auto"/>
            </w:tcBorders>
            <w:shd w:val="clear" w:color="auto" w:fill="FF0000"/>
          </w:tcPr>
          <w:p w14:paraId="5F0264FD" w14:textId="77777777" w:rsidR="00931587" w:rsidRPr="00AB547C" w:rsidRDefault="00931587" w:rsidP="00BE6BC7">
            <w:pPr>
              <w:pStyle w:val="NoSpacing"/>
              <w:jc w:val="center"/>
              <w:rPr>
                <w:rFonts w:ascii="Arial" w:hAnsi="Arial" w:cs="Arial"/>
              </w:rPr>
            </w:pPr>
            <w:r>
              <w:rPr>
                <w:rFonts w:ascii="Arial" w:hAnsi="Arial" w:cs="Arial"/>
              </w:rPr>
              <w:t>16</w:t>
            </w:r>
            <w:r w:rsidRPr="00AB547C">
              <w:rPr>
                <w:rFonts w:ascii="Arial" w:hAnsi="Arial" w:cs="Arial"/>
              </w:rPr>
              <w:t>,</w:t>
            </w:r>
            <w:r>
              <w:rPr>
                <w:rFonts w:ascii="Arial" w:hAnsi="Arial" w:cs="Arial"/>
              </w:rPr>
              <w:t>008</w:t>
            </w:r>
            <w:r>
              <w:rPr>
                <w:rFonts w:ascii="Arial" w:hAnsi="Arial" w:cs="Arial"/>
              </w:rPr>
              <w:br/>
            </w:r>
            <w:r w:rsidRPr="00AB547C">
              <w:rPr>
                <w:rFonts w:ascii="Arial" w:hAnsi="Arial" w:cs="Arial"/>
              </w:rPr>
              <w:t>(</w:t>
            </w:r>
            <w:r>
              <w:rPr>
                <w:rFonts w:ascii="Arial" w:hAnsi="Arial" w:cs="Arial"/>
              </w:rPr>
              <w:t>55,646</w:t>
            </w:r>
            <w:r w:rsidRPr="00AB547C">
              <w:rPr>
                <w:rFonts w:ascii="Arial" w:hAnsi="Arial" w:cs="Arial"/>
              </w:rP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9E91427" w14:textId="77777777" w:rsidR="00931587" w:rsidRPr="00AB547C" w:rsidRDefault="00931587" w:rsidP="00BE6BC7">
            <w:pPr>
              <w:pStyle w:val="NoSpacing"/>
              <w:jc w:val="center"/>
              <w:rPr>
                <w:rFonts w:ascii="Arial" w:hAnsi="Arial" w:cs="Arial"/>
              </w:rPr>
            </w:pPr>
            <w:r w:rsidRPr="00AB547C">
              <w:rPr>
                <w:rFonts w:ascii="Arial" w:hAnsi="Arial" w:cs="Arial"/>
              </w:rPr>
              <w:t>621,000</w:t>
            </w:r>
            <w:r w:rsidRPr="00AB547C">
              <w:rPr>
                <w:rFonts w:ascii="Arial" w:hAnsi="Arial" w:cs="Arial"/>
              </w:rPr>
              <w:br/>
            </w:r>
          </w:p>
          <w:p w14:paraId="7DB70FA1" w14:textId="77777777" w:rsidR="00931587" w:rsidRPr="00AB547C" w:rsidRDefault="00931587" w:rsidP="00BE6BC7">
            <w:pPr>
              <w:pStyle w:val="NoSpacing"/>
              <w:jc w:val="center"/>
              <w:rPr>
                <w:rFonts w:ascii="Arial" w:hAnsi="Arial" w:cs="Arial"/>
              </w:rPr>
            </w:pPr>
          </w:p>
        </w:tc>
      </w:tr>
      <w:tr w:rsidR="00931587" w:rsidRPr="00AB547C" w14:paraId="7EA6A7E1" w14:textId="77777777" w:rsidTr="000B18DF">
        <w:trPr>
          <w:trHeight w:val="1072"/>
        </w:trPr>
        <w:tc>
          <w:tcPr>
            <w:tcW w:w="2132" w:type="dxa"/>
            <w:tcBorders>
              <w:top w:val="single" w:sz="4" w:space="0" w:color="auto"/>
              <w:left w:val="single" w:sz="4" w:space="0" w:color="auto"/>
              <w:bottom w:val="single" w:sz="4" w:space="0" w:color="auto"/>
              <w:right w:val="single" w:sz="4" w:space="0" w:color="auto"/>
            </w:tcBorders>
          </w:tcPr>
          <w:p w14:paraId="05AD8500" w14:textId="4A824AA4" w:rsidR="00931587" w:rsidRPr="00AB547C" w:rsidRDefault="00931587" w:rsidP="00BE6BC7">
            <w:pPr>
              <w:pStyle w:val="NoSpacing"/>
              <w:rPr>
                <w:rFonts w:ascii="Arial" w:hAnsi="Arial" w:cs="Arial"/>
              </w:rPr>
            </w:pPr>
            <w:bookmarkStart w:id="2" w:name="_Hlk74313746"/>
            <w:r w:rsidRPr="00AB547C">
              <w:rPr>
                <w:rFonts w:ascii="Arial" w:hAnsi="Arial" w:cs="Arial"/>
              </w:rPr>
              <w:t>Number of library events organised (annual cumulative indicator)</w:t>
            </w:r>
          </w:p>
        </w:tc>
        <w:tc>
          <w:tcPr>
            <w:tcW w:w="1333" w:type="dxa"/>
            <w:tcBorders>
              <w:top w:val="single" w:sz="4" w:space="0" w:color="auto"/>
              <w:left w:val="single" w:sz="4" w:space="0" w:color="auto"/>
              <w:bottom w:val="single" w:sz="4" w:space="0" w:color="auto"/>
              <w:right w:val="single" w:sz="4" w:space="0" w:color="auto"/>
            </w:tcBorders>
          </w:tcPr>
          <w:p w14:paraId="6CD408D2" w14:textId="77777777" w:rsidR="00931587" w:rsidRPr="00AB547C" w:rsidRDefault="00931587" w:rsidP="00BE6BC7">
            <w:pPr>
              <w:pStyle w:val="NoSpacing"/>
              <w:rPr>
                <w:rFonts w:ascii="Arial" w:hAnsi="Arial" w:cs="Arial"/>
              </w:rPr>
            </w:pPr>
            <w:r w:rsidRPr="00AB547C">
              <w:rPr>
                <w:rFonts w:ascii="Arial" w:hAnsi="Arial" w:cs="Arial"/>
              </w:rPr>
              <w:t>Quarterly</w:t>
            </w:r>
          </w:p>
        </w:tc>
        <w:tc>
          <w:tcPr>
            <w:tcW w:w="1599" w:type="dxa"/>
            <w:tcBorders>
              <w:top w:val="single" w:sz="4" w:space="0" w:color="auto"/>
              <w:left w:val="single" w:sz="4" w:space="0" w:color="auto"/>
              <w:bottom w:val="single" w:sz="4" w:space="0" w:color="auto"/>
              <w:right w:val="single" w:sz="4" w:space="0" w:color="auto"/>
            </w:tcBorders>
          </w:tcPr>
          <w:p w14:paraId="1D63467E" w14:textId="77777777" w:rsidR="00931587" w:rsidRPr="00AB547C" w:rsidRDefault="00931587" w:rsidP="00BE6BC7">
            <w:pPr>
              <w:pStyle w:val="NoSpacing"/>
              <w:rPr>
                <w:rFonts w:ascii="Arial" w:hAnsi="Arial" w:cs="Arial"/>
              </w:rPr>
            </w:pPr>
            <w:r w:rsidRPr="00AB547C">
              <w:rPr>
                <w:rFonts w:ascii="Arial" w:hAnsi="Arial" w:cs="Arial"/>
              </w:rPr>
              <w:t xml:space="preserve">Education and Children's Services </w:t>
            </w:r>
          </w:p>
        </w:tc>
        <w:tc>
          <w:tcPr>
            <w:tcW w:w="927" w:type="dxa"/>
            <w:tcBorders>
              <w:top w:val="single" w:sz="4" w:space="0" w:color="auto"/>
              <w:left w:val="single" w:sz="4" w:space="0" w:color="auto"/>
              <w:bottom w:val="single" w:sz="4" w:space="0" w:color="auto"/>
              <w:right w:val="single" w:sz="4" w:space="0" w:color="auto"/>
            </w:tcBorders>
          </w:tcPr>
          <w:p w14:paraId="04942053" w14:textId="77777777" w:rsidR="00931587" w:rsidRPr="00AB547C" w:rsidRDefault="00931587" w:rsidP="00BE6BC7">
            <w:pPr>
              <w:pStyle w:val="NoSpacing"/>
              <w:rPr>
                <w:rFonts w:ascii="Arial" w:hAnsi="Arial" w:cs="Arial"/>
              </w:rPr>
            </w:pPr>
            <w:r w:rsidRPr="00AB547C">
              <w:rPr>
                <w:rFonts w:ascii="Arial" w:hAnsi="Arial" w:cs="Arial"/>
              </w:rPr>
              <w:t>High</w:t>
            </w:r>
          </w:p>
        </w:tc>
        <w:tc>
          <w:tcPr>
            <w:tcW w:w="11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A8CDBE" w14:textId="77777777" w:rsidR="00931587" w:rsidRPr="00AB547C" w:rsidRDefault="00931587" w:rsidP="00BE6BC7">
            <w:pPr>
              <w:pStyle w:val="NoSpacing"/>
              <w:jc w:val="center"/>
              <w:rPr>
                <w:rFonts w:ascii="Arial" w:hAnsi="Arial" w:cs="Arial"/>
              </w:rPr>
            </w:pPr>
            <w:r w:rsidRPr="00D34F94">
              <w:rPr>
                <w:rFonts w:ascii="Arial" w:hAnsi="Arial" w:cs="Arial"/>
              </w:rPr>
              <w:t xml:space="preserve">11,718 </w:t>
            </w:r>
            <w:r w:rsidRPr="00AB547C">
              <w:rPr>
                <w:rFonts w:ascii="Arial" w:hAnsi="Arial" w:cs="Arial"/>
              </w:rPr>
              <w:t>(2019/20)</w:t>
            </w:r>
          </w:p>
          <w:p w14:paraId="03E9D7B5" w14:textId="77777777" w:rsidR="00931587" w:rsidRPr="00AB547C" w:rsidRDefault="00931587" w:rsidP="00BE6BC7">
            <w:pPr>
              <w:pStyle w:val="NoSpacing"/>
              <w:jc w:val="center"/>
              <w:rPr>
                <w:rFonts w:ascii="Arial" w:hAnsi="Arial" w:cs="Arial"/>
              </w:rPr>
            </w:pPr>
          </w:p>
          <w:p w14:paraId="3D04DA86" w14:textId="77777777" w:rsidR="00931587" w:rsidRPr="00AB547C" w:rsidRDefault="00931587" w:rsidP="00BE6BC7">
            <w:pPr>
              <w:pStyle w:val="NoSpacing"/>
              <w:jc w:val="center"/>
              <w:rPr>
                <w:rFonts w:ascii="Arial"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FF0000"/>
          </w:tcPr>
          <w:p w14:paraId="7E40211D" w14:textId="77777777" w:rsidR="00931587" w:rsidRPr="00AB547C" w:rsidRDefault="00931587" w:rsidP="00BE6BC7">
            <w:r w:rsidRPr="00AB547C">
              <w:t>0</w:t>
            </w:r>
          </w:p>
        </w:tc>
        <w:tc>
          <w:tcPr>
            <w:tcW w:w="1259" w:type="dxa"/>
            <w:tcBorders>
              <w:top w:val="single" w:sz="4" w:space="0" w:color="auto"/>
              <w:left w:val="single" w:sz="4" w:space="0" w:color="auto"/>
              <w:bottom w:val="single" w:sz="4" w:space="0" w:color="auto"/>
              <w:right w:val="single" w:sz="4" w:space="0" w:color="auto"/>
            </w:tcBorders>
            <w:shd w:val="clear" w:color="auto" w:fill="FF0000"/>
          </w:tcPr>
          <w:p w14:paraId="7D435EF3" w14:textId="77777777" w:rsidR="00931587" w:rsidRPr="00AB547C" w:rsidRDefault="00931587" w:rsidP="00BE6BC7">
            <w:r w:rsidRPr="00AB547C">
              <w:t>116</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1C9E9594" w14:textId="77777777" w:rsidR="00931587" w:rsidRPr="00AB547C" w:rsidRDefault="00931587" w:rsidP="00BE6BC7">
            <w:pPr>
              <w:pStyle w:val="NoSpacing"/>
              <w:jc w:val="center"/>
              <w:rPr>
                <w:rFonts w:ascii="Arial" w:hAnsi="Arial" w:cs="Arial"/>
              </w:rPr>
            </w:pPr>
            <w:r w:rsidRPr="00AB547C">
              <w:rPr>
                <w:rFonts w:ascii="Arial" w:hAnsi="Arial" w:cs="Arial"/>
              </w:rPr>
              <w:t>74 (190)</w:t>
            </w:r>
          </w:p>
        </w:tc>
        <w:tc>
          <w:tcPr>
            <w:tcW w:w="1728" w:type="dxa"/>
            <w:tcBorders>
              <w:top w:val="single" w:sz="4" w:space="0" w:color="auto"/>
              <w:left w:val="single" w:sz="4" w:space="0" w:color="auto"/>
              <w:bottom w:val="single" w:sz="4" w:space="0" w:color="auto"/>
              <w:right w:val="single" w:sz="4" w:space="0" w:color="auto"/>
            </w:tcBorders>
            <w:shd w:val="clear" w:color="auto" w:fill="FF0000"/>
          </w:tcPr>
          <w:p w14:paraId="0ADD07A4" w14:textId="77777777" w:rsidR="00931587" w:rsidRPr="00AB547C" w:rsidRDefault="00931587" w:rsidP="00BE6BC7">
            <w:pPr>
              <w:pStyle w:val="NoSpacing"/>
              <w:jc w:val="center"/>
              <w:rPr>
                <w:rFonts w:ascii="Arial" w:hAnsi="Arial" w:cs="Arial"/>
              </w:rPr>
            </w:pPr>
            <w:r>
              <w:rPr>
                <w:rFonts w:ascii="Arial" w:hAnsi="Arial" w:cs="Arial"/>
              </w:rPr>
              <w:t>21</w:t>
            </w:r>
            <w:r w:rsidRPr="00AB547C">
              <w:rPr>
                <w:rFonts w:ascii="Arial" w:hAnsi="Arial" w:cs="Arial"/>
              </w:rPr>
              <w:t xml:space="preserve"> (</w:t>
            </w:r>
            <w:r>
              <w:rPr>
                <w:rFonts w:ascii="Arial" w:hAnsi="Arial" w:cs="Arial"/>
              </w:rPr>
              <w:t>205</w:t>
            </w:r>
            <w:r w:rsidRPr="00AB547C">
              <w:rPr>
                <w:rFonts w:ascii="Arial" w:hAnsi="Arial" w:cs="Arial"/>
              </w:rP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5C7ACCE2" w14:textId="77777777" w:rsidR="00931587" w:rsidRPr="00AB547C" w:rsidRDefault="00931587" w:rsidP="00BE6BC7">
            <w:pPr>
              <w:pStyle w:val="NoSpacing"/>
              <w:jc w:val="center"/>
              <w:rPr>
                <w:rFonts w:ascii="Arial" w:hAnsi="Arial" w:cs="Arial"/>
              </w:rPr>
            </w:pPr>
            <w:r w:rsidRPr="00AB547C">
              <w:rPr>
                <w:rFonts w:ascii="Arial" w:hAnsi="Arial" w:cs="Arial"/>
              </w:rPr>
              <w:t>8,400</w:t>
            </w:r>
            <w:r w:rsidRPr="00AB547C">
              <w:rPr>
                <w:rFonts w:ascii="Arial" w:hAnsi="Arial" w:cs="Arial"/>
              </w:rPr>
              <w:br/>
            </w:r>
          </w:p>
          <w:p w14:paraId="6E12DDAE" w14:textId="77777777" w:rsidR="00931587" w:rsidRPr="00AB547C" w:rsidRDefault="00931587" w:rsidP="00BE6BC7">
            <w:pPr>
              <w:pStyle w:val="NoSpacing"/>
              <w:jc w:val="center"/>
              <w:rPr>
                <w:rFonts w:ascii="Arial" w:hAnsi="Arial" w:cs="Arial"/>
              </w:rPr>
            </w:pPr>
          </w:p>
          <w:p w14:paraId="64CF4569" w14:textId="77777777" w:rsidR="00931587" w:rsidRPr="00AB547C" w:rsidRDefault="00931587" w:rsidP="00BE6BC7">
            <w:pPr>
              <w:pStyle w:val="NoSpacing"/>
              <w:jc w:val="center"/>
              <w:rPr>
                <w:rFonts w:ascii="Arial" w:hAnsi="Arial" w:cs="Arial"/>
              </w:rPr>
            </w:pPr>
          </w:p>
        </w:tc>
      </w:tr>
      <w:bookmarkEnd w:id="2"/>
      <w:tr w:rsidR="00931587" w:rsidRPr="00AB547C" w14:paraId="21299E2E" w14:textId="77777777" w:rsidTr="000B18DF">
        <w:trPr>
          <w:trHeight w:val="1528"/>
        </w:trPr>
        <w:tc>
          <w:tcPr>
            <w:tcW w:w="2132" w:type="dxa"/>
            <w:tcBorders>
              <w:top w:val="single" w:sz="4" w:space="0" w:color="auto"/>
              <w:left w:val="single" w:sz="4" w:space="0" w:color="auto"/>
              <w:bottom w:val="single" w:sz="4" w:space="0" w:color="auto"/>
              <w:right w:val="single" w:sz="4" w:space="0" w:color="auto"/>
            </w:tcBorders>
          </w:tcPr>
          <w:p w14:paraId="5A8361AA" w14:textId="3B4E4D1C" w:rsidR="00931587" w:rsidRPr="00AB547C" w:rsidRDefault="00931587" w:rsidP="00BE6BC7">
            <w:pPr>
              <w:pStyle w:val="NoSpacing"/>
              <w:rPr>
                <w:rFonts w:ascii="Arial" w:hAnsi="Arial" w:cs="Arial"/>
              </w:rPr>
            </w:pPr>
            <w:r w:rsidRPr="00AB547C">
              <w:rPr>
                <w:rFonts w:ascii="Arial" w:hAnsi="Arial" w:cs="Arial"/>
              </w:rPr>
              <w:t>Number of e-downloads</w:t>
            </w:r>
            <w:r w:rsidR="00210C58">
              <w:rPr>
                <w:rFonts w:ascii="Arial" w:hAnsi="Arial" w:cs="Arial"/>
              </w:rPr>
              <w:t xml:space="preserve"> </w:t>
            </w:r>
            <w:r w:rsidRPr="00AB547C">
              <w:rPr>
                <w:rFonts w:ascii="Arial" w:hAnsi="Arial" w:cs="Arial"/>
              </w:rPr>
              <w:t>(annual cumulative indicator)</w:t>
            </w:r>
            <w:r w:rsidRPr="00AB547C">
              <w:rPr>
                <w:rFonts w:ascii="Arial" w:hAnsi="Arial" w:cs="Arial"/>
              </w:rPr>
              <w:br/>
            </w:r>
          </w:p>
        </w:tc>
        <w:tc>
          <w:tcPr>
            <w:tcW w:w="1333" w:type="dxa"/>
            <w:tcBorders>
              <w:top w:val="single" w:sz="4" w:space="0" w:color="auto"/>
              <w:left w:val="single" w:sz="4" w:space="0" w:color="auto"/>
              <w:bottom w:val="single" w:sz="4" w:space="0" w:color="auto"/>
              <w:right w:val="single" w:sz="4" w:space="0" w:color="auto"/>
            </w:tcBorders>
          </w:tcPr>
          <w:p w14:paraId="7D46AB91" w14:textId="77777777" w:rsidR="00931587" w:rsidRPr="00AB547C" w:rsidRDefault="00931587" w:rsidP="00BE6BC7">
            <w:pPr>
              <w:pStyle w:val="NoSpacing"/>
              <w:rPr>
                <w:rFonts w:ascii="Arial" w:hAnsi="Arial" w:cs="Arial"/>
              </w:rPr>
            </w:pPr>
            <w:r w:rsidRPr="00AB547C">
              <w:rPr>
                <w:rFonts w:ascii="Arial" w:hAnsi="Arial" w:cs="Arial"/>
              </w:rPr>
              <w:t>Quarterly</w:t>
            </w:r>
          </w:p>
        </w:tc>
        <w:tc>
          <w:tcPr>
            <w:tcW w:w="1599" w:type="dxa"/>
            <w:tcBorders>
              <w:top w:val="single" w:sz="4" w:space="0" w:color="auto"/>
              <w:left w:val="single" w:sz="4" w:space="0" w:color="auto"/>
              <w:bottom w:val="single" w:sz="4" w:space="0" w:color="auto"/>
              <w:right w:val="single" w:sz="4" w:space="0" w:color="auto"/>
            </w:tcBorders>
          </w:tcPr>
          <w:p w14:paraId="1B30E0B3" w14:textId="77777777" w:rsidR="00931587" w:rsidRPr="00AB547C" w:rsidRDefault="00931587" w:rsidP="00BE6BC7">
            <w:pPr>
              <w:pStyle w:val="NoSpacing"/>
              <w:rPr>
                <w:rFonts w:ascii="Arial" w:hAnsi="Arial" w:cs="Arial"/>
              </w:rPr>
            </w:pPr>
            <w:r w:rsidRPr="00AB547C">
              <w:rPr>
                <w:rFonts w:ascii="Arial" w:hAnsi="Arial" w:cs="Arial"/>
              </w:rPr>
              <w:t xml:space="preserve">Education and Children's Services </w:t>
            </w:r>
          </w:p>
        </w:tc>
        <w:tc>
          <w:tcPr>
            <w:tcW w:w="927" w:type="dxa"/>
            <w:tcBorders>
              <w:top w:val="single" w:sz="4" w:space="0" w:color="auto"/>
              <w:left w:val="single" w:sz="4" w:space="0" w:color="auto"/>
              <w:bottom w:val="single" w:sz="4" w:space="0" w:color="auto"/>
              <w:right w:val="single" w:sz="4" w:space="0" w:color="auto"/>
            </w:tcBorders>
          </w:tcPr>
          <w:p w14:paraId="3D28F2CB" w14:textId="77777777" w:rsidR="00931587" w:rsidRPr="00AB547C" w:rsidRDefault="00931587" w:rsidP="00BE6BC7">
            <w:pPr>
              <w:pStyle w:val="NoSpacing"/>
              <w:rPr>
                <w:rFonts w:ascii="Arial" w:hAnsi="Arial" w:cs="Arial"/>
              </w:rPr>
            </w:pPr>
            <w:r w:rsidRPr="00AB547C">
              <w:rPr>
                <w:rFonts w:ascii="Arial" w:hAnsi="Arial" w:cs="Arial"/>
              </w:rPr>
              <w:t>High</w:t>
            </w:r>
          </w:p>
        </w:tc>
        <w:tc>
          <w:tcPr>
            <w:tcW w:w="11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F71F53" w14:textId="77777777" w:rsidR="00931587" w:rsidRPr="00AB547C" w:rsidRDefault="00931587" w:rsidP="00BE6BC7">
            <w:pPr>
              <w:pStyle w:val="NoSpacing"/>
              <w:jc w:val="center"/>
              <w:rPr>
                <w:rFonts w:ascii="Arial" w:hAnsi="Arial" w:cs="Arial"/>
              </w:rPr>
            </w:pPr>
            <w:r w:rsidRPr="00AB547C">
              <w:rPr>
                <w:rFonts w:ascii="Arial" w:hAnsi="Arial" w:cs="Arial"/>
              </w:rPr>
              <w:t>353,007 (2019/20)</w:t>
            </w:r>
          </w:p>
        </w:tc>
        <w:tc>
          <w:tcPr>
            <w:tcW w:w="13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799B3B" w14:textId="77777777" w:rsidR="00931587" w:rsidRPr="00AB547C" w:rsidRDefault="00931587" w:rsidP="00BE6BC7">
            <w:r w:rsidRPr="00AB547C">
              <w:t>187,270</w:t>
            </w:r>
          </w:p>
        </w:tc>
        <w:tc>
          <w:tcPr>
            <w:tcW w:w="12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44E560" w14:textId="6996A942" w:rsidR="00931587" w:rsidRPr="00AB547C" w:rsidRDefault="00931587" w:rsidP="00BE6BC7">
            <w:r w:rsidRPr="00AB547C">
              <w:t>221,952</w:t>
            </w:r>
            <w:r w:rsidR="003E0CE8">
              <w:t xml:space="preserve"> </w:t>
            </w:r>
            <w:r w:rsidR="003E0CE8" w:rsidRPr="003E0CE8">
              <w:t>(409,222)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205D87" w14:textId="77777777" w:rsidR="00931587" w:rsidRPr="00AB547C" w:rsidRDefault="00931587" w:rsidP="00BE6BC7">
            <w:pPr>
              <w:pStyle w:val="NoSpacing"/>
              <w:jc w:val="center"/>
              <w:rPr>
                <w:rFonts w:ascii="Arial" w:hAnsi="Arial" w:cs="Arial"/>
              </w:rPr>
            </w:pPr>
            <w:r w:rsidRPr="00AB547C">
              <w:rPr>
                <w:rFonts w:ascii="Arial" w:hAnsi="Arial" w:cs="Arial"/>
              </w:rPr>
              <w:t>236,849 (646,071)</w:t>
            </w:r>
          </w:p>
        </w:tc>
        <w:tc>
          <w:tcPr>
            <w:tcW w:w="17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B0F316" w14:textId="77777777" w:rsidR="00931587" w:rsidRPr="00AB547C" w:rsidRDefault="00931587" w:rsidP="00BE6BC7">
            <w:pPr>
              <w:pStyle w:val="NoSpacing"/>
              <w:jc w:val="center"/>
              <w:rPr>
                <w:rFonts w:ascii="Arial" w:hAnsi="Arial" w:cs="Arial"/>
              </w:rPr>
            </w:pPr>
            <w:r w:rsidRPr="00AB547C">
              <w:rPr>
                <w:rFonts w:ascii="Arial" w:hAnsi="Arial" w:cs="Arial"/>
              </w:rPr>
              <w:t>2</w:t>
            </w:r>
            <w:r>
              <w:rPr>
                <w:rFonts w:ascii="Arial" w:hAnsi="Arial" w:cs="Arial"/>
              </w:rPr>
              <w:t>84,230</w:t>
            </w:r>
            <w:r w:rsidRPr="00AB547C">
              <w:rPr>
                <w:rFonts w:ascii="Arial" w:hAnsi="Arial" w:cs="Arial"/>
              </w:rPr>
              <w:t xml:space="preserve"> (</w:t>
            </w:r>
            <w:r>
              <w:rPr>
                <w:rFonts w:ascii="Arial" w:hAnsi="Arial" w:cs="Arial"/>
              </w:rPr>
              <w:t>930</w:t>
            </w:r>
            <w:r w:rsidRPr="00AB547C">
              <w:rPr>
                <w:rFonts w:ascii="Arial" w:hAnsi="Arial" w:cs="Arial"/>
              </w:rPr>
              <w:t>,</w:t>
            </w:r>
            <w:r>
              <w:rPr>
                <w:rFonts w:ascii="Arial" w:hAnsi="Arial" w:cs="Arial"/>
              </w:rPr>
              <w:t>301</w:t>
            </w:r>
            <w:r w:rsidRPr="00AB547C">
              <w:rPr>
                <w:rFonts w:ascii="Arial" w:hAnsi="Arial" w:cs="Arial"/>
              </w:rP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466A7453" w14:textId="77777777" w:rsidR="00931587" w:rsidRPr="00AB547C" w:rsidRDefault="00931587" w:rsidP="00BE6BC7">
            <w:pPr>
              <w:pStyle w:val="NoSpacing"/>
              <w:jc w:val="center"/>
              <w:rPr>
                <w:rFonts w:ascii="Arial" w:hAnsi="Arial" w:cs="Arial"/>
              </w:rPr>
            </w:pPr>
            <w:r w:rsidRPr="00AB547C">
              <w:rPr>
                <w:rFonts w:ascii="Arial" w:hAnsi="Arial" w:cs="Arial"/>
              </w:rPr>
              <w:t>293,908</w:t>
            </w:r>
          </w:p>
          <w:p w14:paraId="7CFD6C1D" w14:textId="77777777" w:rsidR="00931587" w:rsidRPr="00AB547C" w:rsidRDefault="00931587" w:rsidP="00BE6BC7">
            <w:pPr>
              <w:pStyle w:val="NoSpacing"/>
              <w:jc w:val="center"/>
              <w:rPr>
                <w:rFonts w:ascii="Arial" w:hAnsi="Arial" w:cs="Arial"/>
              </w:rPr>
            </w:pPr>
          </w:p>
        </w:tc>
      </w:tr>
      <w:tr w:rsidR="00931587" w:rsidRPr="00BC0E8D" w14:paraId="4C805CBD" w14:textId="77777777" w:rsidTr="000B18DF">
        <w:trPr>
          <w:trHeight w:val="1437"/>
        </w:trPr>
        <w:tc>
          <w:tcPr>
            <w:tcW w:w="2132" w:type="dxa"/>
            <w:tcBorders>
              <w:top w:val="single" w:sz="4" w:space="0" w:color="auto"/>
              <w:left w:val="single" w:sz="4" w:space="0" w:color="auto"/>
              <w:bottom w:val="single" w:sz="4" w:space="0" w:color="auto"/>
              <w:right w:val="single" w:sz="4" w:space="0" w:color="auto"/>
            </w:tcBorders>
          </w:tcPr>
          <w:p w14:paraId="54A6181C" w14:textId="77777777" w:rsidR="00931587" w:rsidRPr="00AB547C" w:rsidRDefault="00931587" w:rsidP="00BE6BC7">
            <w:pPr>
              <w:pStyle w:val="NoSpacing"/>
              <w:rPr>
                <w:rFonts w:ascii="Arial" w:hAnsi="Arial" w:cs="Arial"/>
              </w:rPr>
            </w:pPr>
            <w:r w:rsidRPr="00AB547C">
              <w:rPr>
                <w:rFonts w:ascii="Arial" w:hAnsi="Arial" w:cs="Arial"/>
              </w:rPr>
              <w:t>Number of volunteers in Libraries (annual cumulative indicator)</w:t>
            </w:r>
          </w:p>
        </w:tc>
        <w:tc>
          <w:tcPr>
            <w:tcW w:w="1333" w:type="dxa"/>
            <w:tcBorders>
              <w:top w:val="single" w:sz="4" w:space="0" w:color="auto"/>
              <w:left w:val="single" w:sz="4" w:space="0" w:color="auto"/>
              <w:bottom w:val="single" w:sz="4" w:space="0" w:color="auto"/>
              <w:right w:val="single" w:sz="4" w:space="0" w:color="auto"/>
            </w:tcBorders>
          </w:tcPr>
          <w:p w14:paraId="02F7DC5E" w14:textId="77777777" w:rsidR="00931587" w:rsidRPr="00AB547C" w:rsidRDefault="00931587" w:rsidP="00BE6BC7">
            <w:pPr>
              <w:pStyle w:val="NoSpacing"/>
              <w:rPr>
                <w:rFonts w:ascii="Arial" w:hAnsi="Arial" w:cs="Arial"/>
              </w:rPr>
            </w:pPr>
            <w:r w:rsidRPr="00AB547C">
              <w:rPr>
                <w:rFonts w:ascii="Arial" w:hAnsi="Arial" w:cs="Arial"/>
              </w:rPr>
              <w:t>Quarterly</w:t>
            </w:r>
          </w:p>
        </w:tc>
        <w:tc>
          <w:tcPr>
            <w:tcW w:w="1599" w:type="dxa"/>
            <w:tcBorders>
              <w:top w:val="single" w:sz="4" w:space="0" w:color="auto"/>
              <w:left w:val="single" w:sz="4" w:space="0" w:color="auto"/>
              <w:bottom w:val="single" w:sz="4" w:space="0" w:color="auto"/>
              <w:right w:val="single" w:sz="4" w:space="0" w:color="auto"/>
            </w:tcBorders>
          </w:tcPr>
          <w:p w14:paraId="79CDAEBA" w14:textId="77777777" w:rsidR="00931587" w:rsidRPr="00AB547C" w:rsidRDefault="00931587" w:rsidP="00BE6BC7">
            <w:pPr>
              <w:pStyle w:val="NoSpacing"/>
              <w:rPr>
                <w:rFonts w:ascii="Arial" w:hAnsi="Arial" w:cs="Arial"/>
              </w:rPr>
            </w:pPr>
            <w:r w:rsidRPr="00AB547C">
              <w:rPr>
                <w:rFonts w:ascii="Arial" w:hAnsi="Arial" w:cs="Arial"/>
              </w:rPr>
              <w:t xml:space="preserve">Education and </w:t>
            </w:r>
            <w:r>
              <w:rPr>
                <w:rFonts w:ascii="Arial" w:hAnsi="Arial" w:cs="Arial"/>
              </w:rPr>
              <w:t>C</w:t>
            </w:r>
            <w:r w:rsidRPr="00AB547C">
              <w:rPr>
                <w:rFonts w:ascii="Arial" w:hAnsi="Arial" w:cs="Arial"/>
              </w:rPr>
              <w:t>hildren's Services</w:t>
            </w:r>
          </w:p>
        </w:tc>
        <w:tc>
          <w:tcPr>
            <w:tcW w:w="927" w:type="dxa"/>
            <w:tcBorders>
              <w:top w:val="single" w:sz="4" w:space="0" w:color="auto"/>
              <w:left w:val="single" w:sz="4" w:space="0" w:color="auto"/>
              <w:bottom w:val="single" w:sz="4" w:space="0" w:color="auto"/>
              <w:right w:val="single" w:sz="4" w:space="0" w:color="auto"/>
            </w:tcBorders>
          </w:tcPr>
          <w:p w14:paraId="62B518B2" w14:textId="77777777" w:rsidR="00931587" w:rsidRPr="00AB547C" w:rsidRDefault="00931587" w:rsidP="00BE6BC7">
            <w:pPr>
              <w:pStyle w:val="NoSpacing"/>
              <w:rPr>
                <w:rFonts w:ascii="Arial" w:hAnsi="Arial" w:cs="Arial"/>
              </w:rPr>
            </w:pPr>
            <w:r w:rsidRPr="00AB547C">
              <w:rPr>
                <w:rFonts w:ascii="Arial" w:hAnsi="Arial" w:cs="Arial"/>
              </w:rPr>
              <w:t>High</w:t>
            </w:r>
          </w:p>
        </w:tc>
        <w:tc>
          <w:tcPr>
            <w:tcW w:w="11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8150A2" w14:textId="77777777" w:rsidR="00931587" w:rsidRPr="00AB547C" w:rsidRDefault="00931587" w:rsidP="00BE6BC7">
            <w:pPr>
              <w:pStyle w:val="NoSpacing"/>
              <w:jc w:val="center"/>
              <w:rPr>
                <w:rFonts w:ascii="Arial" w:hAnsi="Arial" w:cs="Arial"/>
              </w:rPr>
            </w:pPr>
            <w:r w:rsidRPr="00AB547C">
              <w:rPr>
                <w:rFonts w:ascii="Arial" w:hAnsi="Arial" w:cs="Arial"/>
              </w:rPr>
              <w:t>677 (2019/20)</w:t>
            </w:r>
          </w:p>
          <w:p w14:paraId="73FF4D3C" w14:textId="77777777" w:rsidR="00931587" w:rsidRPr="00AB547C" w:rsidRDefault="00931587" w:rsidP="00BE6BC7">
            <w:pPr>
              <w:pStyle w:val="NoSpacing"/>
              <w:jc w:val="center"/>
              <w:rPr>
                <w:rFonts w:ascii="Arial" w:hAnsi="Arial" w:cs="Arial"/>
              </w:rPr>
            </w:pPr>
          </w:p>
          <w:p w14:paraId="2442F6B4" w14:textId="77777777" w:rsidR="00931587" w:rsidRPr="00AB547C" w:rsidRDefault="00931587" w:rsidP="00BE6BC7">
            <w:pPr>
              <w:pStyle w:val="NoSpacing"/>
              <w:jc w:val="center"/>
              <w:rPr>
                <w:rFonts w:ascii="Arial"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FF0000"/>
          </w:tcPr>
          <w:p w14:paraId="37FF0D44" w14:textId="77777777" w:rsidR="00931587" w:rsidRPr="00AB547C" w:rsidRDefault="00931587" w:rsidP="00BE6BC7">
            <w:pPr>
              <w:pStyle w:val="NoSpacing"/>
              <w:jc w:val="center"/>
              <w:rPr>
                <w:rFonts w:ascii="Arial" w:hAnsi="Arial" w:cs="Arial"/>
              </w:rPr>
            </w:pPr>
            <w:r w:rsidRPr="00AB547C">
              <w:rPr>
                <w:rFonts w:ascii="Arial" w:hAnsi="Arial" w:cs="Arial"/>
              </w:rPr>
              <w:t>0</w:t>
            </w:r>
          </w:p>
        </w:tc>
        <w:tc>
          <w:tcPr>
            <w:tcW w:w="1259" w:type="dxa"/>
            <w:tcBorders>
              <w:top w:val="single" w:sz="4" w:space="0" w:color="auto"/>
              <w:left w:val="single" w:sz="4" w:space="0" w:color="auto"/>
              <w:bottom w:val="single" w:sz="4" w:space="0" w:color="auto"/>
              <w:right w:val="single" w:sz="4" w:space="0" w:color="auto"/>
            </w:tcBorders>
            <w:shd w:val="clear" w:color="auto" w:fill="FF0000"/>
          </w:tcPr>
          <w:p w14:paraId="4EACB42E" w14:textId="77777777" w:rsidR="00931587" w:rsidRPr="00AB547C" w:rsidRDefault="00931587" w:rsidP="00BE6BC7">
            <w:pPr>
              <w:pStyle w:val="NoSpacing"/>
              <w:jc w:val="center"/>
              <w:rPr>
                <w:rFonts w:ascii="Arial" w:hAnsi="Arial" w:cs="Arial"/>
              </w:rPr>
            </w:pPr>
            <w:r w:rsidRPr="00AB547C">
              <w:rPr>
                <w:rFonts w:ascii="Arial" w:hAnsi="Arial" w:cs="Arial"/>
              </w:rPr>
              <w:t>151</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28937AE" w14:textId="77777777" w:rsidR="00931587" w:rsidRPr="00AB547C" w:rsidRDefault="00931587" w:rsidP="00BE6BC7">
            <w:pPr>
              <w:pStyle w:val="NoSpacing"/>
              <w:jc w:val="center"/>
              <w:rPr>
                <w:rFonts w:ascii="Arial" w:hAnsi="Arial" w:cs="Arial"/>
              </w:rPr>
            </w:pPr>
            <w:r>
              <w:rPr>
                <w:rFonts w:ascii="Arial" w:hAnsi="Arial" w:cs="Arial"/>
              </w:rPr>
              <w:t>118</w:t>
            </w:r>
          </w:p>
        </w:tc>
        <w:tc>
          <w:tcPr>
            <w:tcW w:w="1728" w:type="dxa"/>
            <w:tcBorders>
              <w:top w:val="single" w:sz="4" w:space="0" w:color="auto"/>
              <w:left w:val="single" w:sz="4" w:space="0" w:color="auto"/>
              <w:bottom w:val="single" w:sz="4" w:space="0" w:color="auto"/>
              <w:right w:val="single" w:sz="4" w:space="0" w:color="auto"/>
            </w:tcBorders>
            <w:shd w:val="clear" w:color="auto" w:fill="FF0000"/>
          </w:tcPr>
          <w:p w14:paraId="7529E86C" w14:textId="77777777" w:rsidR="00931587" w:rsidRPr="00AB547C" w:rsidRDefault="00931587" w:rsidP="00BE6BC7">
            <w:pPr>
              <w:pStyle w:val="NoSpacing"/>
              <w:jc w:val="center"/>
              <w:rPr>
                <w:rFonts w:ascii="Arial" w:hAnsi="Arial" w:cs="Arial"/>
              </w:rPr>
            </w:pPr>
            <w:r>
              <w:rPr>
                <w:rFonts w:ascii="Arial" w:hAnsi="Arial" w:cs="Arial"/>
              </w:rPr>
              <w:t>167</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63C66BBF" w14:textId="77777777" w:rsidR="00931587" w:rsidRPr="00AB547C" w:rsidRDefault="00931587" w:rsidP="00BE6BC7">
            <w:pPr>
              <w:pStyle w:val="NoSpacing"/>
              <w:jc w:val="center"/>
              <w:rPr>
                <w:rFonts w:ascii="Arial" w:hAnsi="Arial" w:cs="Arial"/>
              </w:rPr>
            </w:pPr>
            <w:r w:rsidRPr="00AB547C">
              <w:rPr>
                <w:rFonts w:ascii="Arial" w:hAnsi="Arial" w:cs="Arial"/>
              </w:rPr>
              <w:t>600</w:t>
            </w:r>
          </w:p>
          <w:p w14:paraId="4E20699C" w14:textId="77777777" w:rsidR="00931587" w:rsidRPr="00AB547C" w:rsidRDefault="00931587" w:rsidP="00BE6BC7">
            <w:pPr>
              <w:pStyle w:val="NoSpacing"/>
              <w:jc w:val="center"/>
              <w:rPr>
                <w:rFonts w:ascii="Arial" w:hAnsi="Arial" w:cs="Arial"/>
              </w:rPr>
            </w:pPr>
          </w:p>
        </w:tc>
      </w:tr>
    </w:tbl>
    <w:p w14:paraId="13DBA06E" w14:textId="77777777" w:rsidR="00BE0C2C" w:rsidRDefault="00931587" w:rsidP="00931587">
      <w:pPr>
        <w:rPr>
          <w:b/>
          <w:sz w:val="22"/>
          <w:szCs w:val="22"/>
          <w:lang w:eastAsia="en-GB"/>
        </w:rPr>
      </w:pPr>
      <w:r>
        <w:rPr>
          <w:b/>
          <w:sz w:val="22"/>
          <w:szCs w:val="22"/>
          <w:lang w:eastAsia="en-GB"/>
        </w:rPr>
        <w:br/>
      </w:r>
    </w:p>
    <w:p w14:paraId="73729B0B" w14:textId="27B98979" w:rsidR="00931587" w:rsidRPr="00AB547C" w:rsidRDefault="00931587" w:rsidP="00931587">
      <w:pPr>
        <w:rPr>
          <w:rFonts w:eastAsiaTheme="minorHAnsi" w:cs="Arial"/>
          <w:sz w:val="22"/>
          <w:szCs w:val="22"/>
        </w:rPr>
      </w:pPr>
      <w:r w:rsidRPr="00AB547C">
        <w:rPr>
          <w:b/>
          <w:sz w:val="22"/>
          <w:szCs w:val="22"/>
          <w:lang w:eastAsia="en-GB"/>
        </w:rPr>
        <w:lastRenderedPageBreak/>
        <w:t>Use of Libraries</w:t>
      </w:r>
      <w:r w:rsidRPr="00AB547C">
        <w:rPr>
          <w:sz w:val="22"/>
          <w:szCs w:val="22"/>
          <w:lang w:eastAsia="en-GB"/>
        </w:rPr>
        <w:t xml:space="preserve">. </w:t>
      </w:r>
      <w:r w:rsidRPr="00D14D7D">
        <w:rPr>
          <w:rFonts w:cs="Arial"/>
          <w:sz w:val="22"/>
          <w:szCs w:val="22"/>
        </w:rPr>
        <w:t>Quarter 4 began with Lancashire under Tier 4 restrictions, which had been implemented on 31/12/2020, with libraries allowed to open, but restricted to limited "lockdown" services, such as item returns and click and collect. Those museums which had reopened, were once again closed. Lockdown 3 then began on 6</w:t>
      </w:r>
      <w:r w:rsidRPr="00CA35DE">
        <w:rPr>
          <w:rFonts w:cs="Arial"/>
          <w:sz w:val="22"/>
          <w:szCs w:val="22"/>
          <w:vertAlign w:val="superscript"/>
        </w:rPr>
        <w:t>th</w:t>
      </w:r>
      <w:r w:rsidRPr="00D14D7D">
        <w:rPr>
          <w:rFonts w:cs="Arial"/>
          <w:sz w:val="22"/>
          <w:szCs w:val="22"/>
        </w:rPr>
        <w:t xml:space="preserve"> January, but this time libraries </w:t>
      </w:r>
      <w:r w:rsidR="000B18DF">
        <w:rPr>
          <w:rFonts w:cs="Arial"/>
          <w:sz w:val="22"/>
          <w:szCs w:val="22"/>
        </w:rPr>
        <w:t xml:space="preserve">were </w:t>
      </w:r>
      <w:r w:rsidRPr="00D14D7D">
        <w:rPr>
          <w:rFonts w:cs="Arial"/>
          <w:sz w:val="22"/>
          <w:szCs w:val="22"/>
        </w:rPr>
        <w:t>able to continue with their restricted services and the situation remained unchanged until the 12</w:t>
      </w:r>
      <w:r w:rsidRPr="00CA35DE">
        <w:rPr>
          <w:rFonts w:cs="Arial"/>
          <w:sz w:val="22"/>
          <w:szCs w:val="22"/>
          <w:vertAlign w:val="superscript"/>
        </w:rPr>
        <w:t>th</w:t>
      </w:r>
      <w:r w:rsidRPr="00D14D7D">
        <w:rPr>
          <w:rFonts w:cs="Arial"/>
          <w:sz w:val="22"/>
          <w:szCs w:val="22"/>
        </w:rPr>
        <w:t xml:space="preserve"> April.</w:t>
      </w:r>
    </w:p>
    <w:p w14:paraId="0EB2F3C7" w14:textId="7181E217" w:rsidR="00931587" w:rsidRPr="003E0CE8" w:rsidRDefault="00931587" w:rsidP="003E0CE8">
      <w:pPr>
        <w:jc w:val="left"/>
        <w:rPr>
          <w:b/>
          <w:sz w:val="22"/>
          <w:szCs w:val="22"/>
          <w:lang w:eastAsia="en-GB"/>
        </w:rPr>
      </w:pPr>
      <w:r w:rsidRPr="00AB547C">
        <w:rPr>
          <w:b/>
          <w:lang w:eastAsia="en-GB"/>
        </w:rPr>
        <w:t xml:space="preserve">People's network (PNET) sessions. </w:t>
      </w:r>
      <w:r w:rsidRPr="00AB547C">
        <w:rPr>
          <w:lang w:eastAsia="en-GB"/>
        </w:rPr>
        <w:t xml:space="preserve"> </w:t>
      </w:r>
      <w:r w:rsidRPr="003E0CE8">
        <w:rPr>
          <w:sz w:val="22"/>
          <w:szCs w:val="22"/>
        </w:rPr>
        <w:t>Sessions were</w:t>
      </w:r>
      <w:r w:rsidR="000B18DF" w:rsidRPr="003E0CE8">
        <w:rPr>
          <w:sz w:val="22"/>
          <w:szCs w:val="22"/>
        </w:rPr>
        <w:t xml:space="preserve"> </w:t>
      </w:r>
      <w:r w:rsidRPr="003E0CE8">
        <w:rPr>
          <w:sz w:val="22"/>
          <w:szCs w:val="22"/>
        </w:rPr>
        <w:t xml:space="preserve">available at all open library sites from the start of quarter 4, subject to </w:t>
      </w:r>
      <w:r w:rsidR="006E1EA7">
        <w:rPr>
          <w:sz w:val="22"/>
          <w:szCs w:val="22"/>
        </w:rPr>
        <w:t>pandemic</w:t>
      </w:r>
      <w:r w:rsidRPr="003E0CE8">
        <w:rPr>
          <w:sz w:val="22"/>
          <w:szCs w:val="22"/>
        </w:rPr>
        <w:t xml:space="preserve"> safe regulations, meaning significantly fewer terminals being available to ensure distancing and shorter sessions, as cleaning time </w:t>
      </w:r>
      <w:r w:rsidR="003E0CE8" w:rsidRPr="003E0CE8">
        <w:rPr>
          <w:sz w:val="22"/>
          <w:szCs w:val="22"/>
        </w:rPr>
        <w:t xml:space="preserve">was </w:t>
      </w:r>
      <w:r w:rsidRPr="003E0CE8">
        <w:rPr>
          <w:sz w:val="22"/>
          <w:szCs w:val="22"/>
        </w:rPr>
        <w:t>required between customers. However,</w:t>
      </w:r>
      <w:r w:rsidR="003E0CE8" w:rsidRPr="003E0CE8">
        <w:rPr>
          <w:sz w:val="22"/>
          <w:szCs w:val="22"/>
        </w:rPr>
        <w:t xml:space="preserve"> o</w:t>
      </w:r>
      <w:r w:rsidRPr="003E0CE8">
        <w:rPr>
          <w:sz w:val="22"/>
          <w:szCs w:val="22"/>
        </w:rPr>
        <w:t xml:space="preserve">nce again only users with pre-booked "essential" computer sessions were permitted in libraries. </w:t>
      </w:r>
      <w:r w:rsidRPr="003E0CE8">
        <w:rPr>
          <w:sz w:val="22"/>
          <w:szCs w:val="22"/>
        </w:rPr>
        <w:br/>
      </w:r>
      <w:r w:rsidRPr="003E0CE8">
        <w:rPr>
          <w:sz w:val="22"/>
          <w:szCs w:val="22"/>
        </w:rPr>
        <w:br/>
      </w:r>
      <w:r w:rsidRPr="00AB547C">
        <w:rPr>
          <w:b/>
          <w:lang w:eastAsia="en-GB"/>
        </w:rPr>
        <w:t>Library events</w:t>
      </w:r>
      <w:r w:rsidRPr="003E0CE8">
        <w:rPr>
          <w:b/>
          <w:sz w:val="22"/>
          <w:szCs w:val="22"/>
          <w:lang w:eastAsia="en-GB"/>
        </w:rPr>
        <w:t xml:space="preserve">.  </w:t>
      </w:r>
      <w:r w:rsidRPr="003E0CE8">
        <w:rPr>
          <w:sz w:val="22"/>
          <w:szCs w:val="22"/>
          <w:lang w:eastAsia="en-GB"/>
        </w:rPr>
        <w:t>As with previous periods subject to restrictions, a range of online events and competitions was arranged over quarter 4 including adults</w:t>
      </w:r>
      <w:r w:rsidR="00715A70">
        <w:rPr>
          <w:sz w:val="22"/>
          <w:szCs w:val="22"/>
          <w:lang w:eastAsia="en-GB"/>
        </w:rPr>
        <w:t>'</w:t>
      </w:r>
      <w:r w:rsidRPr="003E0CE8">
        <w:rPr>
          <w:sz w:val="22"/>
          <w:szCs w:val="22"/>
          <w:lang w:eastAsia="en-GB"/>
        </w:rPr>
        <w:t xml:space="preserve"> and children's book clubs, </w:t>
      </w:r>
      <w:r w:rsidR="00715A70">
        <w:rPr>
          <w:sz w:val="22"/>
          <w:szCs w:val="22"/>
          <w:lang w:eastAsia="en-GB"/>
        </w:rPr>
        <w:t>a</w:t>
      </w:r>
      <w:r w:rsidRPr="003E0CE8">
        <w:rPr>
          <w:sz w:val="22"/>
          <w:szCs w:val="22"/>
          <w:lang w:eastAsia="en-GB"/>
        </w:rPr>
        <w:t xml:space="preserve">uthor interviews, family book activities, </w:t>
      </w:r>
      <w:r w:rsidR="00715A70">
        <w:rPr>
          <w:sz w:val="22"/>
          <w:szCs w:val="22"/>
          <w:lang w:eastAsia="en-GB"/>
        </w:rPr>
        <w:t>p</w:t>
      </w:r>
      <w:r w:rsidRPr="003E0CE8">
        <w:rPr>
          <w:sz w:val="22"/>
          <w:szCs w:val="22"/>
          <w:lang w:eastAsia="en-GB"/>
        </w:rPr>
        <w:t>odcasts, Reading Friends sessions, an online book launch and a Facebook chat group etc. Though there were fewer "events" in quarter 4 than previously, these still proved popular with some 1,700 individuals "attending" virtually.</w:t>
      </w:r>
    </w:p>
    <w:p w14:paraId="023ED9A9" w14:textId="1ECB8298" w:rsidR="00931587" w:rsidRPr="00AB547C" w:rsidRDefault="00931587" w:rsidP="00931587">
      <w:pPr>
        <w:rPr>
          <w:sz w:val="22"/>
          <w:szCs w:val="22"/>
          <w:lang w:eastAsia="en-GB"/>
        </w:rPr>
      </w:pPr>
      <w:r w:rsidRPr="00AB547C">
        <w:rPr>
          <w:b/>
          <w:sz w:val="22"/>
          <w:szCs w:val="22"/>
          <w:lang w:eastAsia="en-GB"/>
        </w:rPr>
        <w:t xml:space="preserve">e-downloads. </w:t>
      </w:r>
      <w:r w:rsidRPr="00AB547C">
        <w:rPr>
          <w:sz w:val="22"/>
          <w:szCs w:val="22"/>
          <w:lang w:eastAsia="en-GB"/>
        </w:rPr>
        <w:t xml:space="preserve"> </w:t>
      </w:r>
      <w:r w:rsidRPr="00D14D7D">
        <w:rPr>
          <w:sz w:val="22"/>
          <w:szCs w:val="22"/>
          <w:lang w:eastAsia="en-GB"/>
        </w:rPr>
        <w:t xml:space="preserve">Since restrictions due to </w:t>
      </w:r>
      <w:r w:rsidR="006E1EA7">
        <w:rPr>
          <w:sz w:val="22"/>
          <w:szCs w:val="22"/>
          <w:lang w:eastAsia="en-GB"/>
        </w:rPr>
        <w:t>the pandemic</w:t>
      </w:r>
      <w:r w:rsidRPr="00D14D7D">
        <w:rPr>
          <w:sz w:val="22"/>
          <w:szCs w:val="22"/>
          <w:lang w:eastAsia="en-GB"/>
        </w:rPr>
        <w:t xml:space="preserve"> were first announced, the eBook service has seen </w:t>
      </w:r>
      <w:r w:rsidR="00AC296D">
        <w:rPr>
          <w:sz w:val="22"/>
          <w:szCs w:val="22"/>
          <w:lang w:eastAsia="en-GB"/>
        </w:rPr>
        <w:t xml:space="preserve">a </w:t>
      </w:r>
      <w:r w:rsidRPr="00D14D7D">
        <w:rPr>
          <w:sz w:val="22"/>
          <w:szCs w:val="22"/>
          <w:lang w:eastAsia="en-GB"/>
        </w:rPr>
        <w:t xml:space="preserve">significant increase in registered members and usage - this coupled with new formats - </w:t>
      </w:r>
      <w:proofErr w:type="spellStart"/>
      <w:r w:rsidRPr="00D14D7D">
        <w:rPr>
          <w:sz w:val="22"/>
          <w:szCs w:val="22"/>
          <w:lang w:eastAsia="en-GB"/>
        </w:rPr>
        <w:t>eMagazines</w:t>
      </w:r>
      <w:proofErr w:type="spellEnd"/>
      <w:r w:rsidRPr="00D14D7D">
        <w:rPr>
          <w:sz w:val="22"/>
          <w:szCs w:val="22"/>
          <w:lang w:eastAsia="en-GB"/>
        </w:rPr>
        <w:t xml:space="preserve">, </w:t>
      </w:r>
      <w:proofErr w:type="spellStart"/>
      <w:r w:rsidRPr="00D14D7D">
        <w:rPr>
          <w:sz w:val="22"/>
          <w:szCs w:val="22"/>
          <w:lang w:eastAsia="en-GB"/>
        </w:rPr>
        <w:t>eNewspapers</w:t>
      </w:r>
      <w:proofErr w:type="spellEnd"/>
      <w:r w:rsidRPr="00D14D7D">
        <w:rPr>
          <w:sz w:val="22"/>
          <w:szCs w:val="22"/>
          <w:lang w:eastAsia="en-GB"/>
        </w:rPr>
        <w:t xml:space="preserve"> and </w:t>
      </w:r>
      <w:proofErr w:type="spellStart"/>
      <w:r w:rsidRPr="00D14D7D">
        <w:rPr>
          <w:sz w:val="22"/>
          <w:szCs w:val="22"/>
          <w:lang w:eastAsia="en-GB"/>
        </w:rPr>
        <w:t>eComics</w:t>
      </w:r>
      <w:proofErr w:type="spellEnd"/>
      <w:r w:rsidRPr="00D14D7D">
        <w:rPr>
          <w:sz w:val="22"/>
          <w:szCs w:val="22"/>
          <w:lang w:eastAsia="en-GB"/>
        </w:rPr>
        <w:t xml:space="preserve"> - being made available has seen a major increase in usage, a trend which continued in </w:t>
      </w:r>
      <w:r>
        <w:rPr>
          <w:sz w:val="22"/>
          <w:szCs w:val="22"/>
          <w:lang w:eastAsia="en-GB"/>
        </w:rPr>
        <w:t>quarter</w:t>
      </w:r>
      <w:r w:rsidRPr="00D14D7D">
        <w:rPr>
          <w:sz w:val="22"/>
          <w:szCs w:val="22"/>
          <w:lang w:eastAsia="en-GB"/>
        </w:rPr>
        <w:t xml:space="preserve"> 4.</w:t>
      </w:r>
    </w:p>
    <w:p w14:paraId="4030DCFF" w14:textId="08D70411" w:rsidR="00931587" w:rsidRDefault="00931587" w:rsidP="00931587">
      <w:pPr>
        <w:rPr>
          <w:sz w:val="22"/>
          <w:szCs w:val="22"/>
          <w:lang w:eastAsia="en-GB"/>
        </w:rPr>
      </w:pPr>
      <w:r w:rsidRPr="00AB547C">
        <w:rPr>
          <w:b/>
          <w:sz w:val="22"/>
          <w:szCs w:val="22"/>
          <w:lang w:eastAsia="en-GB"/>
        </w:rPr>
        <w:t>Volunteers in libraries</w:t>
      </w:r>
      <w:r w:rsidRPr="00AB547C">
        <w:rPr>
          <w:sz w:val="22"/>
          <w:szCs w:val="22"/>
          <w:lang w:eastAsia="en-GB"/>
        </w:rPr>
        <w:t xml:space="preserve">. </w:t>
      </w:r>
      <w:r>
        <w:rPr>
          <w:rFonts w:cs="Arial"/>
          <w:sz w:val="22"/>
          <w:szCs w:val="22"/>
        </w:rPr>
        <w:t>Quarter 3</w:t>
      </w:r>
      <w:r w:rsidRPr="00D14D7D">
        <w:rPr>
          <w:rFonts w:cs="Arial"/>
          <w:sz w:val="22"/>
          <w:szCs w:val="22"/>
        </w:rPr>
        <w:t xml:space="preserve"> saw some volunteer operated services running, with 84 volunteers on Home Library Service</w:t>
      </w:r>
      <w:r w:rsidR="00715A70">
        <w:rPr>
          <w:rFonts w:cs="Arial"/>
          <w:sz w:val="22"/>
          <w:szCs w:val="22"/>
        </w:rPr>
        <w:t xml:space="preserve"> (HLS)</w:t>
      </w:r>
      <w:r w:rsidRPr="00D14D7D">
        <w:rPr>
          <w:rFonts w:cs="Arial"/>
          <w:sz w:val="22"/>
          <w:szCs w:val="22"/>
        </w:rPr>
        <w:t xml:space="preserve"> deliveries, 22 carrying out HLS telephone befriending roles and 16 volunteering from home on Red Rose Digitisation roles. Also 45 Culture Hack volunteers attended online events organised for them which should help develop further online activities for younger people as time goes on.</w:t>
      </w:r>
    </w:p>
    <w:p w14:paraId="2D9AE9BF" w14:textId="77777777" w:rsidR="00931587" w:rsidRDefault="00931587" w:rsidP="00931587">
      <w:pPr>
        <w:rPr>
          <w:sz w:val="22"/>
          <w:szCs w:val="22"/>
          <w:lang w:eastAsia="en-GB"/>
        </w:rPr>
      </w:pPr>
    </w:p>
    <w:p w14:paraId="2B061D54" w14:textId="6B3D48B2" w:rsidR="00931587" w:rsidRDefault="00931587" w:rsidP="00931587">
      <w:pPr>
        <w:rPr>
          <w:sz w:val="22"/>
          <w:szCs w:val="22"/>
          <w:lang w:eastAsia="en-GB"/>
        </w:rPr>
      </w:pPr>
    </w:p>
    <w:p w14:paraId="291AB985" w14:textId="014BE9AE" w:rsidR="000B18DF" w:rsidRDefault="000B18DF" w:rsidP="00931587">
      <w:pPr>
        <w:rPr>
          <w:sz w:val="22"/>
          <w:szCs w:val="22"/>
          <w:lang w:eastAsia="en-GB"/>
        </w:rPr>
      </w:pPr>
    </w:p>
    <w:p w14:paraId="58505AD4" w14:textId="5F08D6D8" w:rsidR="000B18DF" w:rsidRDefault="000B18DF" w:rsidP="00931587">
      <w:pPr>
        <w:rPr>
          <w:sz w:val="22"/>
          <w:szCs w:val="22"/>
          <w:lang w:eastAsia="en-GB"/>
        </w:rPr>
      </w:pPr>
    </w:p>
    <w:p w14:paraId="7126F9D4" w14:textId="7F4B204A" w:rsidR="00A27737" w:rsidRDefault="00A27737" w:rsidP="00931587">
      <w:pPr>
        <w:rPr>
          <w:sz w:val="22"/>
          <w:szCs w:val="22"/>
          <w:lang w:eastAsia="en-GB"/>
        </w:rPr>
      </w:pPr>
    </w:p>
    <w:p w14:paraId="0022B4D7" w14:textId="4E805C9E" w:rsidR="00A27737" w:rsidRDefault="00A27737" w:rsidP="00931587">
      <w:pPr>
        <w:rPr>
          <w:sz w:val="22"/>
          <w:szCs w:val="22"/>
          <w:lang w:eastAsia="en-GB"/>
        </w:rPr>
      </w:pPr>
    </w:p>
    <w:p w14:paraId="2D6E024D" w14:textId="77777777" w:rsidR="00A27737" w:rsidRDefault="00A27737" w:rsidP="00931587">
      <w:pPr>
        <w:rPr>
          <w:sz w:val="22"/>
          <w:szCs w:val="22"/>
          <w:lang w:eastAsia="en-GB"/>
        </w:rPr>
      </w:pPr>
    </w:p>
    <w:p w14:paraId="249FEA4C" w14:textId="6BA65BA6" w:rsidR="00931587" w:rsidRDefault="00931587" w:rsidP="00931587">
      <w:pPr>
        <w:rPr>
          <w:sz w:val="22"/>
          <w:szCs w:val="22"/>
          <w:lang w:eastAsia="en-GB"/>
        </w:rPr>
      </w:pPr>
    </w:p>
    <w:p w14:paraId="6816D847" w14:textId="77777777" w:rsidR="00BE0C2C" w:rsidRDefault="00BE0C2C" w:rsidP="00931587">
      <w:pPr>
        <w:rPr>
          <w:sz w:val="22"/>
          <w:szCs w:val="22"/>
          <w:lang w:eastAsia="en-GB"/>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418"/>
        <w:gridCol w:w="1417"/>
        <w:gridCol w:w="1276"/>
        <w:gridCol w:w="1276"/>
        <w:gridCol w:w="1701"/>
        <w:gridCol w:w="1275"/>
      </w:tblGrid>
      <w:tr w:rsidR="00931587" w:rsidRPr="00F23639" w14:paraId="35855A06" w14:textId="77777777" w:rsidTr="000B18DF">
        <w:trPr>
          <w:trHeight w:val="54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5EC23BA" w14:textId="77777777" w:rsidR="00931587" w:rsidRPr="005669BE" w:rsidRDefault="00931587" w:rsidP="00BE6BC7">
            <w:pPr>
              <w:pStyle w:val="NoSpacing"/>
              <w:rPr>
                <w:rFonts w:ascii="Arial" w:hAnsi="Arial" w:cs="Arial"/>
                <w:b/>
                <w:highlight w:val="yellow"/>
              </w:rPr>
            </w:pPr>
            <w:bookmarkStart w:id="3" w:name="_Hlk72743705"/>
            <w:r w:rsidRPr="00FA30B2">
              <w:rPr>
                <w:rFonts w:ascii="Arial" w:hAnsi="Arial" w:cs="Arial"/>
                <w:b/>
              </w:rPr>
              <w:lastRenderedPageBreak/>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3604C" w14:textId="77777777" w:rsidR="00931587" w:rsidRPr="005669BE" w:rsidRDefault="00931587" w:rsidP="00BE6BC7">
            <w:pPr>
              <w:pStyle w:val="NoSpacing"/>
              <w:rPr>
                <w:rFonts w:ascii="Arial" w:hAnsi="Arial" w:cs="Arial"/>
                <w:b/>
                <w:highlight w:val="yellow"/>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B32399F" w14:textId="77777777" w:rsidR="00931587" w:rsidRPr="005669BE" w:rsidRDefault="00931587" w:rsidP="00BE6BC7">
            <w:pPr>
              <w:pStyle w:val="NoSpacing"/>
              <w:rPr>
                <w:rFonts w:ascii="Arial" w:hAnsi="Arial" w:cs="Arial"/>
                <w:b/>
                <w:highlight w:val="yellow"/>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0D965E7" w14:textId="77777777" w:rsidR="00931587" w:rsidRPr="005669BE" w:rsidRDefault="00931587" w:rsidP="00BE6BC7">
            <w:pPr>
              <w:pStyle w:val="NoSpacing"/>
              <w:rPr>
                <w:rFonts w:ascii="Arial" w:hAnsi="Arial" w:cs="Arial"/>
                <w:b/>
                <w:highlight w:val="yellow"/>
              </w:rPr>
            </w:pPr>
            <w:r>
              <w:rPr>
                <w:rFonts w:ascii="Arial" w:hAnsi="Arial" w:cs="Arial"/>
                <w:b/>
              </w:rPr>
              <w:t>Good 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26F9EC" w14:textId="77777777" w:rsidR="00931587" w:rsidRPr="005669BE" w:rsidRDefault="00931587" w:rsidP="00BE6BC7">
            <w:pPr>
              <w:pStyle w:val="NoSpacing"/>
              <w:rPr>
                <w:rFonts w:ascii="Arial" w:hAnsi="Arial" w:cs="Arial"/>
                <w:b/>
                <w:highlight w:val="yellow"/>
              </w:rPr>
            </w:pPr>
            <w:r>
              <w:rPr>
                <w:rFonts w:ascii="Arial" w:hAnsi="Arial" w:cs="Arial"/>
                <w:b/>
              </w:rPr>
              <w:t>2019/20 Outturn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4EDCFB" w14:textId="77777777" w:rsidR="00931587" w:rsidRPr="005669BE" w:rsidRDefault="00931587" w:rsidP="00BE6BC7">
            <w:pPr>
              <w:pStyle w:val="NoSpacing"/>
              <w:rPr>
                <w:rFonts w:ascii="Arial" w:hAnsi="Arial" w:cs="Arial"/>
                <w:b/>
                <w:highlight w:val="yellow"/>
              </w:rPr>
            </w:pPr>
            <w:r>
              <w:rPr>
                <w:rFonts w:ascii="Arial" w:hAnsi="Arial" w:cs="Arial"/>
                <w:b/>
              </w:rPr>
              <w:t xml:space="preserve">2020/21 Quarter 1 </w:t>
            </w:r>
            <w:r w:rsidRPr="00F044C2">
              <w:rPr>
                <w:rFonts w:ascii="Arial" w:hAnsi="Arial" w:cs="Arial"/>
                <w:b/>
                <w:sz w:val="18"/>
              </w:rPr>
              <w:t>(April –June)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80419C" w14:textId="27791592" w:rsidR="00931587" w:rsidRPr="005669BE" w:rsidRDefault="00931587" w:rsidP="00BE6BC7">
            <w:pPr>
              <w:pStyle w:val="NoSpacing"/>
              <w:rPr>
                <w:rFonts w:ascii="Arial" w:hAnsi="Arial" w:cs="Arial"/>
                <w:b/>
                <w:highlight w:val="yellow"/>
              </w:rPr>
            </w:pPr>
            <w:r>
              <w:rPr>
                <w:rFonts w:ascii="Arial" w:hAnsi="Arial" w:cs="Arial"/>
                <w:b/>
              </w:rPr>
              <w:t xml:space="preserve">Quarter 2 </w:t>
            </w:r>
            <w:r w:rsidRPr="00F044C2">
              <w:rPr>
                <w:rFonts w:ascii="Arial" w:hAnsi="Arial" w:cs="Arial"/>
                <w:b/>
                <w:sz w:val="18"/>
              </w:rPr>
              <w:t>(July –September)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61A889" w14:textId="77777777" w:rsidR="00931587" w:rsidRPr="005669BE" w:rsidRDefault="00931587" w:rsidP="00BE6BC7">
            <w:pPr>
              <w:pStyle w:val="NoSpacing"/>
              <w:rPr>
                <w:rFonts w:ascii="Arial" w:hAnsi="Arial" w:cs="Arial"/>
                <w:b/>
                <w:highlight w:val="yellow"/>
              </w:rPr>
            </w:pPr>
            <w:r>
              <w:rPr>
                <w:rFonts w:ascii="Arial" w:hAnsi="Arial" w:cs="Arial"/>
                <w:b/>
              </w:rPr>
              <w:t xml:space="preserve">Quarter 3 </w:t>
            </w:r>
            <w:r w:rsidRPr="00F044C2">
              <w:rPr>
                <w:rFonts w:ascii="Arial" w:hAnsi="Arial" w:cs="Arial"/>
                <w:b/>
                <w:sz w:val="18"/>
              </w:rPr>
              <w:t>(October - December)</w:t>
            </w:r>
          </w:p>
        </w:tc>
        <w:tc>
          <w:tcPr>
            <w:tcW w:w="1701" w:type="dxa"/>
            <w:tcBorders>
              <w:top w:val="single" w:sz="4" w:space="0" w:color="auto"/>
              <w:left w:val="single" w:sz="4" w:space="0" w:color="auto"/>
              <w:bottom w:val="single" w:sz="4" w:space="0" w:color="auto"/>
              <w:right w:val="single" w:sz="4" w:space="0" w:color="auto"/>
            </w:tcBorders>
          </w:tcPr>
          <w:p w14:paraId="198B3F5A" w14:textId="26DF5785" w:rsidR="00931587" w:rsidRPr="000133E2" w:rsidRDefault="00A27737" w:rsidP="00BE6BC7">
            <w:pPr>
              <w:pStyle w:val="NoSpacing"/>
              <w:rPr>
                <w:rFonts w:ascii="Arial" w:hAnsi="Arial" w:cs="Arial"/>
                <w:bCs/>
              </w:rPr>
            </w:pPr>
            <w:r>
              <w:rPr>
                <w:rFonts w:ascii="Arial" w:hAnsi="Arial" w:cs="Arial"/>
                <w:b/>
              </w:rPr>
              <w:t>Q</w:t>
            </w:r>
            <w:r w:rsidR="00931587">
              <w:rPr>
                <w:rFonts w:ascii="Arial" w:hAnsi="Arial" w:cs="Arial"/>
                <w:b/>
              </w:rPr>
              <w:t xml:space="preserve">uarter 4 </w:t>
            </w:r>
            <w:r w:rsidR="00931587">
              <w:rPr>
                <w:rFonts w:ascii="Arial" w:hAnsi="Arial" w:cs="Arial"/>
                <w:bCs/>
              </w:rPr>
              <w:t>(January – March)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0A2049" w14:textId="77777777" w:rsidR="00931587" w:rsidRPr="005669BE" w:rsidRDefault="00931587" w:rsidP="00BE6BC7">
            <w:pPr>
              <w:pStyle w:val="NoSpacing"/>
              <w:rPr>
                <w:rFonts w:ascii="Arial" w:hAnsi="Arial" w:cs="Arial"/>
                <w:b/>
                <w:highlight w:val="yellow"/>
              </w:rPr>
            </w:pPr>
            <w:r>
              <w:rPr>
                <w:rFonts w:ascii="Arial" w:hAnsi="Arial" w:cs="Arial"/>
                <w:b/>
              </w:rPr>
              <w:t>2020/21</w:t>
            </w:r>
            <w:r w:rsidRPr="00FA30B2">
              <w:rPr>
                <w:rFonts w:ascii="Arial" w:hAnsi="Arial" w:cs="Arial"/>
                <w:b/>
              </w:rPr>
              <w:t xml:space="preserve"> Target</w:t>
            </w:r>
          </w:p>
        </w:tc>
      </w:tr>
      <w:tr w:rsidR="00931587" w:rsidRPr="00F23639" w14:paraId="5EA28C3F" w14:textId="77777777" w:rsidTr="000B18DF">
        <w:trPr>
          <w:trHeight w:val="962"/>
          <w:jc w:val="center"/>
        </w:trPr>
        <w:tc>
          <w:tcPr>
            <w:tcW w:w="2405" w:type="dxa"/>
            <w:tcBorders>
              <w:top w:val="single" w:sz="4" w:space="0" w:color="auto"/>
              <w:left w:val="single" w:sz="4" w:space="0" w:color="auto"/>
              <w:bottom w:val="single" w:sz="4" w:space="0" w:color="auto"/>
              <w:right w:val="single" w:sz="4" w:space="0" w:color="auto"/>
            </w:tcBorders>
          </w:tcPr>
          <w:p w14:paraId="57DB7949" w14:textId="77777777" w:rsidR="00931587" w:rsidRPr="00F23639" w:rsidRDefault="00931587" w:rsidP="00BE6BC7">
            <w:pPr>
              <w:pStyle w:val="NoSpacing"/>
              <w:rPr>
                <w:rFonts w:ascii="Arial" w:hAnsi="Arial" w:cs="Arial"/>
              </w:rPr>
            </w:pPr>
            <w:r w:rsidRPr="00F23639">
              <w:rPr>
                <w:rFonts w:ascii="Arial" w:hAnsi="Arial" w:cs="Arial"/>
              </w:rPr>
              <w:t>Percentage of young people in employment education or training (EET)</w:t>
            </w:r>
          </w:p>
        </w:tc>
        <w:tc>
          <w:tcPr>
            <w:tcW w:w="1559" w:type="dxa"/>
            <w:tcBorders>
              <w:top w:val="single" w:sz="4" w:space="0" w:color="auto"/>
              <w:left w:val="single" w:sz="4" w:space="0" w:color="auto"/>
              <w:bottom w:val="single" w:sz="4" w:space="0" w:color="auto"/>
              <w:right w:val="single" w:sz="4" w:space="0" w:color="auto"/>
            </w:tcBorders>
          </w:tcPr>
          <w:p w14:paraId="19C8CEF2" w14:textId="77777777" w:rsidR="00931587" w:rsidRPr="00F23639" w:rsidRDefault="00931587" w:rsidP="00BE6BC7">
            <w:pPr>
              <w:pStyle w:val="NoSpacing"/>
              <w:rPr>
                <w:rFonts w:ascii="Arial" w:hAnsi="Arial" w:cs="Arial"/>
              </w:rPr>
            </w:pPr>
            <w:r w:rsidRPr="00F23639">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14:paraId="47B7E332" w14:textId="77777777" w:rsidR="00931587" w:rsidRPr="00F23639" w:rsidRDefault="00931587" w:rsidP="00BE6BC7">
            <w:pPr>
              <w:pStyle w:val="NoSpacing"/>
              <w:rPr>
                <w:rFonts w:ascii="Arial" w:hAnsi="Arial" w:cs="Arial"/>
              </w:rPr>
            </w:pPr>
            <w:r w:rsidRPr="00F23639">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14:paraId="7493C15D" w14:textId="77777777" w:rsidR="00931587" w:rsidRPr="00F23639" w:rsidRDefault="00931587" w:rsidP="00BE6BC7">
            <w:pPr>
              <w:pStyle w:val="NoSpacing"/>
              <w:rPr>
                <w:rFonts w:ascii="Arial" w:hAnsi="Arial" w:cs="Arial"/>
              </w:rPr>
            </w:pPr>
            <w:r w:rsidRPr="00F23639">
              <w:rPr>
                <w:rFonts w:ascii="Arial" w:hAnsi="Arial" w:cs="Arial"/>
              </w:rPr>
              <w:t>High</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6E0292" w14:textId="77777777" w:rsidR="00931587" w:rsidRPr="00601D6C" w:rsidRDefault="00931587" w:rsidP="00BE6BC7">
            <w:pPr>
              <w:pStyle w:val="NoSpacing"/>
              <w:jc w:val="center"/>
              <w:rPr>
                <w:rFonts w:ascii="Arial" w:hAnsi="Arial" w:cs="Arial"/>
                <w:color w:val="000000" w:themeColor="text1"/>
              </w:rPr>
            </w:pPr>
            <w:r w:rsidRPr="00601D6C">
              <w:rPr>
                <w:rFonts w:ascii="Arial" w:hAnsi="Arial" w:cs="Arial"/>
                <w:color w:val="000000" w:themeColor="text1"/>
              </w:rPr>
              <w:t>93% (Dec 201</w:t>
            </w:r>
            <w:r>
              <w:rPr>
                <w:rFonts w:ascii="Arial" w:hAnsi="Arial" w:cs="Arial"/>
                <w:color w:val="000000" w:themeColor="text1"/>
              </w:rPr>
              <w:t>9</w:t>
            </w:r>
            <w:r w:rsidRPr="00601D6C">
              <w:rPr>
                <w:rFonts w:ascii="Arial" w:hAnsi="Arial" w:cs="Arial"/>
                <w:color w:val="000000" w:themeColor="text1"/>
              </w:rPr>
              <w:t xml:space="preserve"> </w:t>
            </w:r>
            <w:r>
              <w:rPr>
                <w:rFonts w:ascii="Arial" w:hAnsi="Arial" w:cs="Arial"/>
                <w:color w:val="000000" w:themeColor="text1"/>
              </w:rPr>
              <w:t>–</w:t>
            </w:r>
            <w:r w:rsidRPr="00601D6C">
              <w:rPr>
                <w:rFonts w:ascii="Arial" w:hAnsi="Arial" w:cs="Arial"/>
                <w:color w:val="000000" w:themeColor="text1"/>
              </w:rPr>
              <w:t xml:space="preserve"> Feb</w:t>
            </w:r>
            <w:r>
              <w:rPr>
                <w:rFonts w:ascii="Arial" w:hAnsi="Arial" w:cs="Arial"/>
                <w:color w:val="000000" w:themeColor="text1"/>
              </w:rPr>
              <w:t xml:space="preserve"> 20</w:t>
            </w:r>
            <w:r w:rsidRPr="00601D6C">
              <w:rPr>
                <w:rFonts w:ascii="Arial" w:hAnsi="Arial" w:cs="Arial"/>
                <w:color w:val="000000" w:themeColor="text1"/>
              </w:rPr>
              <w:t xml:space="preserve"> average)</w:t>
            </w:r>
          </w:p>
          <w:p w14:paraId="0E658990" w14:textId="77777777" w:rsidR="00931587" w:rsidRPr="0026069C" w:rsidRDefault="00931587" w:rsidP="00BE6BC7">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5B09B7" w14:textId="77777777" w:rsidR="00931587" w:rsidRDefault="00931587" w:rsidP="00BE6BC7">
            <w:pPr>
              <w:pStyle w:val="NoSpacing"/>
              <w:jc w:val="center"/>
              <w:rPr>
                <w:rFonts w:ascii="Arial" w:hAnsi="Arial" w:cs="Arial"/>
                <w:color w:val="000000" w:themeColor="text1"/>
              </w:rPr>
            </w:pPr>
            <w:r w:rsidRPr="00601D6C">
              <w:rPr>
                <w:rFonts w:ascii="Arial" w:hAnsi="Arial" w:cs="Arial"/>
                <w:color w:val="000000" w:themeColor="text1"/>
              </w:rPr>
              <w:t>93</w:t>
            </w:r>
            <w:r>
              <w:rPr>
                <w:rFonts w:ascii="Arial" w:hAnsi="Arial" w:cs="Arial"/>
                <w:color w:val="000000" w:themeColor="text1"/>
              </w:rPr>
              <w:t>.2</w:t>
            </w:r>
            <w:r w:rsidRPr="00601D6C">
              <w:rPr>
                <w:rFonts w:ascii="Arial" w:hAnsi="Arial" w:cs="Arial"/>
                <w:color w:val="000000" w:themeColor="text1"/>
              </w:rPr>
              <w:t xml:space="preserve">% </w:t>
            </w:r>
          </w:p>
          <w:p w14:paraId="0790985C" w14:textId="77777777" w:rsidR="00931587" w:rsidRPr="00601D6C" w:rsidRDefault="00931587" w:rsidP="00BE6BC7">
            <w:pPr>
              <w:pStyle w:val="NoSpacing"/>
              <w:jc w:val="center"/>
              <w:rPr>
                <w:rFonts w:ascii="Arial" w:hAnsi="Arial" w:cs="Arial"/>
                <w:color w:val="000000" w:themeColor="text1"/>
              </w:rPr>
            </w:pPr>
            <w:r>
              <w:rPr>
                <w:rFonts w:ascii="Arial" w:hAnsi="Arial" w:cs="Arial"/>
                <w:color w:val="000000" w:themeColor="text1"/>
              </w:rPr>
              <w:t>(June 2020</w:t>
            </w:r>
            <w:r w:rsidRPr="00601D6C">
              <w:rPr>
                <w:rFonts w:ascii="Arial" w:hAnsi="Arial" w:cs="Arial"/>
                <w:color w:val="000000" w:themeColor="text1"/>
              </w:rPr>
              <w:t>)</w:t>
            </w:r>
          </w:p>
          <w:p w14:paraId="5131C3F5" w14:textId="77777777" w:rsidR="00931587" w:rsidRPr="00601D6C" w:rsidRDefault="00931587" w:rsidP="00BE6BC7">
            <w:pPr>
              <w:pStyle w:val="NoSpacing"/>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37733B" w14:textId="77777777" w:rsidR="00931587" w:rsidRPr="00F23639" w:rsidRDefault="00931587" w:rsidP="00BE6BC7">
            <w:pPr>
              <w:pStyle w:val="NoSpacing"/>
              <w:jc w:val="center"/>
              <w:rPr>
                <w:rFonts w:ascii="Arial" w:hAnsi="Arial" w:cs="Arial"/>
                <w:color w:val="FFFFFF" w:themeColor="background1"/>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4C877B" w14:textId="77777777" w:rsidR="00931587" w:rsidRDefault="00931587" w:rsidP="00BE6BC7">
            <w:pPr>
              <w:pStyle w:val="NoSpacing"/>
              <w:jc w:val="center"/>
              <w:rPr>
                <w:rFonts w:ascii="Arial" w:hAnsi="Arial" w:cs="Arial"/>
              </w:rPr>
            </w:pPr>
            <w:r>
              <w:rPr>
                <w:rFonts w:ascii="Arial" w:hAnsi="Arial" w:cs="Arial"/>
              </w:rPr>
              <w:t xml:space="preserve">93.2% </w:t>
            </w:r>
          </w:p>
          <w:p w14:paraId="39F66D00" w14:textId="77777777" w:rsidR="00931587" w:rsidRPr="00F23639" w:rsidRDefault="00931587" w:rsidP="00BE6BC7">
            <w:pPr>
              <w:pStyle w:val="NoSpacing"/>
              <w:jc w:val="center"/>
              <w:rPr>
                <w:rFonts w:ascii="Arial" w:hAnsi="Arial" w:cs="Arial"/>
              </w:rPr>
            </w:pPr>
            <w:r>
              <w:rPr>
                <w:rFonts w:ascii="Arial" w:hAnsi="Arial" w:cs="Arial"/>
              </w:rPr>
              <w:t>(Dec 2020)</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C06162" w14:textId="77777777" w:rsidR="00931587" w:rsidRPr="00601D6C" w:rsidRDefault="00931587" w:rsidP="00BE6BC7">
            <w:pPr>
              <w:pStyle w:val="NoSpacing"/>
              <w:jc w:val="center"/>
              <w:rPr>
                <w:rFonts w:ascii="Arial" w:hAnsi="Arial" w:cs="Arial"/>
                <w:color w:val="000000" w:themeColor="text1"/>
              </w:rPr>
            </w:pPr>
            <w:r w:rsidRPr="00601D6C">
              <w:rPr>
                <w:rFonts w:ascii="Arial" w:hAnsi="Arial" w:cs="Arial"/>
                <w:color w:val="000000" w:themeColor="text1"/>
              </w:rPr>
              <w:t>9</w:t>
            </w:r>
            <w:r>
              <w:rPr>
                <w:rFonts w:ascii="Arial" w:hAnsi="Arial" w:cs="Arial"/>
                <w:color w:val="000000" w:themeColor="text1"/>
              </w:rPr>
              <w:t>4.2</w:t>
            </w:r>
            <w:r w:rsidRPr="00601D6C">
              <w:rPr>
                <w:rFonts w:ascii="Arial" w:hAnsi="Arial" w:cs="Arial"/>
                <w:color w:val="000000" w:themeColor="text1"/>
              </w:rPr>
              <w:t>% (Dec 201</w:t>
            </w:r>
            <w:r>
              <w:rPr>
                <w:rFonts w:ascii="Arial" w:hAnsi="Arial" w:cs="Arial"/>
                <w:color w:val="000000" w:themeColor="text1"/>
              </w:rPr>
              <w:t>9</w:t>
            </w:r>
            <w:r w:rsidRPr="00601D6C">
              <w:rPr>
                <w:rFonts w:ascii="Arial" w:hAnsi="Arial" w:cs="Arial"/>
                <w:color w:val="000000" w:themeColor="text1"/>
              </w:rPr>
              <w:t xml:space="preserve"> </w:t>
            </w:r>
            <w:r>
              <w:rPr>
                <w:rFonts w:ascii="Arial" w:hAnsi="Arial" w:cs="Arial"/>
                <w:color w:val="000000" w:themeColor="text1"/>
              </w:rPr>
              <w:t>–</w:t>
            </w:r>
            <w:r w:rsidRPr="00601D6C">
              <w:rPr>
                <w:rFonts w:ascii="Arial" w:hAnsi="Arial" w:cs="Arial"/>
                <w:color w:val="000000" w:themeColor="text1"/>
              </w:rPr>
              <w:t xml:space="preserve"> Feb</w:t>
            </w:r>
            <w:r>
              <w:rPr>
                <w:rFonts w:ascii="Arial" w:hAnsi="Arial" w:cs="Arial"/>
                <w:color w:val="000000" w:themeColor="text1"/>
              </w:rPr>
              <w:t xml:space="preserve"> 20</w:t>
            </w:r>
            <w:r w:rsidRPr="00601D6C">
              <w:rPr>
                <w:rFonts w:ascii="Arial" w:hAnsi="Arial" w:cs="Arial"/>
                <w:color w:val="000000" w:themeColor="text1"/>
              </w:rPr>
              <w:t xml:space="preserve"> average)</w:t>
            </w:r>
          </w:p>
          <w:p w14:paraId="1864B1EA" w14:textId="77777777" w:rsidR="00931587" w:rsidRPr="00F23639" w:rsidRDefault="00931587" w:rsidP="00BE6BC7">
            <w:pPr>
              <w:pStyle w:val="NoSpacing"/>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0A1228" w14:textId="77777777" w:rsidR="00931587" w:rsidRPr="00F23639" w:rsidRDefault="00931587" w:rsidP="00BE6BC7">
            <w:pPr>
              <w:pStyle w:val="NoSpacing"/>
              <w:jc w:val="center"/>
              <w:rPr>
                <w:rFonts w:ascii="Arial" w:hAnsi="Arial" w:cs="Arial"/>
              </w:rPr>
            </w:pPr>
            <w:r w:rsidRPr="00F23639">
              <w:rPr>
                <w:rFonts w:ascii="Arial" w:hAnsi="Arial" w:cs="Arial"/>
              </w:rPr>
              <w:t>94.7%</w:t>
            </w:r>
          </w:p>
          <w:p w14:paraId="1F67728F" w14:textId="77777777" w:rsidR="00931587" w:rsidRPr="00F23639" w:rsidRDefault="00931587" w:rsidP="00BE6BC7">
            <w:pPr>
              <w:pStyle w:val="NoSpacing"/>
              <w:jc w:val="center"/>
              <w:rPr>
                <w:rFonts w:ascii="Arial" w:hAnsi="Arial" w:cs="Arial"/>
              </w:rPr>
            </w:pPr>
            <w:r w:rsidRPr="00F23639">
              <w:rPr>
                <w:rFonts w:ascii="Arial" w:hAnsi="Arial" w:cs="Arial"/>
              </w:rPr>
              <w:t>(Dec 2020-Feb 2021 average)</w:t>
            </w:r>
          </w:p>
        </w:tc>
      </w:tr>
      <w:tr w:rsidR="00931587" w:rsidRPr="00F23639" w14:paraId="582AD941" w14:textId="77777777" w:rsidTr="000B18DF">
        <w:trPr>
          <w:trHeight w:val="962"/>
          <w:jc w:val="center"/>
        </w:trPr>
        <w:tc>
          <w:tcPr>
            <w:tcW w:w="2405" w:type="dxa"/>
            <w:tcBorders>
              <w:top w:val="single" w:sz="4" w:space="0" w:color="auto"/>
              <w:left w:val="single" w:sz="4" w:space="0" w:color="auto"/>
              <w:bottom w:val="single" w:sz="4" w:space="0" w:color="auto"/>
              <w:right w:val="single" w:sz="4" w:space="0" w:color="auto"/>
            </w:tcBorders>
          </w:tcPr>
          <w:p w14:paraId="1CEB44D9" w14:textId="77777777" w:rsidR="00931587" w:rsidRPr="00F23639" w:rsidRDefault="00931587" w:rsidP="00BE6BC7">
            <w:pPr>
              <w:pStyle w:val="NoSpacing"/>
              <w:rPr>
                <w:rFonts w:ascii="Arial" w:hAnsi="Arial" w:cs="Arial"/>
              </w:rPr>
            </w:pPr>
            <w:r w:rsidRPr="00F23639">
              <w:rPr>
                <w:rFonts w:ascii="Arial" w:hAnsi="Arial" w:cs="Arial"/>
              </w:rPr>
              <w:t>Percentage of young people in education or training (EET)</w:t>
            </w:r>
            <w:r>
              <w:rPr>
                <w:rFonts w:ascii="Arial" w:hAnsi="Arial" w:cs="Arial"/>
              </w:rPr>
              <w:t xml:space="preserve"> SEND pupils</w:t>
            </w:r>
          </w:p>
        </w:tc>
        <w:tc>
          <w:tcPr>
            <w:tcW w:w="1559" w:type="dxa"/>
            <w:tcBorders>
              <w:top w:val="single" w:sz="4" w:space="0" w:color="auto"/>
              <w:left w:val="single" w:sz="4" w:space="0" w:color="auto"/>
              <w:bottom w:val="single" w:sz="4" w:space="0" w:color="auto"/>
              <w:right w:val="single" w:sz="4" w:space="0" w:color="auto"/>
            </w:tcBorders>
          </w:tcPr>
          <w:p w14:paraId="08BD0B42" w14:textId="77777777" w:rsidR="00931587" w:rsidRPr="00F23639" w:rsidRDefault="00931587" w:rsidP="00BE6BC7">
            <w:pPr>
              <w:pStyle w:val="NoSpacing"/>
              <w:rPr>
                <w:rFonts w:ascii="Arial" w:hAnsi="Arial" w:cs="Arial"/>
              </w:rPr>
            </w:pPr>
            <w:r>
              <w:rPr>
                <w:rFonts w:ascii="Arial" w:hAnsi="Arial" w:cs="Arial"/>
              </w:rPr>
              <w:t>Annual</w:t>
            </w:r>
          </w:p>
        </w:tc>
        <w:tc>
          <w:tcPr>
            <w:tcW w:w="1546" w:type="dxa"/>
            <w:tcBorders>
              <w:top w:val="single" w:sz="4" w:space="0" w:color="auto"/>
              <w:left w:val="single" w:sz="4" w:space="0" w:color="auto"/>
              <w:bottom w:val="single" w:sz="4" w:space="0" w:color="auto"/>
              <w:right w:val="single" w:sz="4" w:space="0" w:color="auto"/>
            </w:tcBorders>
          </w:tcPr>
          <w:p w14:paraId="57658EF5" w14:textId="77777777" w:rsidR="00931587" w:rsidRPr="00F23639" w:rsidRDefault="00931587" w:rsidP="00BE6BC7">
            <w:pPr>
              <w:pStyle w:val="NoSpacing"/>
              <w:rPr>
                <w:rFonts w:ascii="Arial" w:hAnsi="Arial" w:cs="Arial"/>
              </w:rPr>
            </w:pPr>
            <w:r w:rsidRPr="00F23639">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14:paraId="6E2A3EBE" w14:textId="77777777" w:rsidR="00931587" w:rsidRPr="00F23639" w:rsidRDefault="00931587" w:rsidP="00BE6BC7">
            <w:pPr>
              <w:pStyle w:val="NoSpacing"/>
              <w:rPr>
                <w:rFonts w:ascii="Arial" w:hAnsi="Arial" w:cs="Arial"/>
              </w:rPr>
            </w:pPr>
            <w:r w:rsidRPr="00F23639">
              <w:rPr>
                <w:rFonts w:ascii="Arial" w:hAnsi="Arial" w:cs="Arial"/>
              </w:rPr>
              <w:t>High</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B5F4E2" w14:textId="77777777" w:rsidR="00931587" w:rsidRPr="00601D6C" w:rsidRDefault="00931587" w:rsidP="00BE6BC7">
            <w:pPr>
              <w:pStyle w:val="NoSpacing"/>
              <w:jc w:val="center"/>
              <w:rPr>
                <w:rFonts w:ascii="Arial" w:hAnsi="Arial" w:cs="Arial"/>
                <w:color w:val="000000" w:themeColor="text1"/>
              </w:rPr>
            </w:pPr>
            <w:r>
              <w:rPr>
                <w:rFonts w:ascii="Arial" w:hAnsi="Arial" w:cs="Arial"/>
                <w:color w:val="000000" w:themeColor="text1"/>
              </w:rPr>
              <w:t>88.9</w:t>
            </w:r>
            <w:r w:rsidRPr="00601D6C">
              <w:rPr>
                <w:rFonts w:ascii="Arial" w:hAnsi="Arial" w:cs="Arial"/>
                <w:color w:val="000000" w:themeColor="text1"/>
              </w:rPr>
              <w:t>% (Dec 201</w:t>
            </w:r>
            <w:r>
              <w:rPr>
                <w:rFonts w:ascii="Arial" w:hAnsi="Arial" w:cs="Arial"/>
                <w:color w:val="000000" w:themeColor="text1"/>
              </w:rPr>
              <w:t>9</w:t>
            </w:r>
            <w:r w:rsidRPr="00601D6C">
              <w:rPr>
                <w:rFonts w:ascii="Arial" w:hAnsi="Arial" w:cs="Arial"/>
                <w:color w:val="000000" w:themeColor="text1"/>
              </w:rPr>
              <w:t xml:space="preserve"> </w:t>
            </w:r>
            <w:r>
              <w:rPr>
                <w:rFonts w:ascii="Arial" w:hAnsi="Arial" w:cs="Arial"/>
                <w:color w:val="000000" w:themeColor="text1"/>
              </w:rPr>
              <w:t>–</w:t>
            </w:r>
            <w:r w:rsidRPr="00601D6C">
              <w:rPr>
                <w:rFonts w:ascii="Arial" w:hAnsi="Arial" w:cs="Arial"/>
                <w:color w:val="000000" w:themeColor="text1"/>
              </w:rPr>
              <w:t xml:space="preserve"> Feb</w:t>
            </w:r>
            <w:r>
              <w:rPr>
                <w:rFonts w:ascii="Arial" w:hAnsi="Arial" w:cs="Arial"/>
                <w:color w:val="000000" w:themeColor="text1"/>
              </w:rPr>
              <w:t xml:space="preserve"> 20</w:t>
            </w:r>
            <w:r w:rsidRPr="00601D6C">
              <w:rPr>
                <w:rFonts w:ascii="Arial" w:hAnsi="Arial" w:cs="Arial"/>
                <w:color w:val="000000" w:themeColor="text1"/>
              </w:rPr>
              <w:t xml:space="preserve"> average)</w:t>
            </w:r>
          </w:p>
          <w:p w14:paraId="108077AB" w14:textId="77777777" w:rsidR="00931587" w:rsidRPr="0026069C" w:rsidRDefault="00931587" w:rsidP="00BE6BC7">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7B8E60" w14:textId="77777777" w:rsidR="00931587" w:rsidRDefault="00931587" w:rsidP="00BE6BC7">
            <w:pPr>
              <w:pStyle w:val="NoSpacing"/>
              <w:jc w:val="center"/>
              <w:rPr>
                <w:rFonts w:ascii="Arial" w:hAnsi="Arial" w:cs="Arial"/>
                <w:color w:val="000000" w:themeColor="text1"/>
              </w:rPr>
            </w:pPr>
            <w:r>
              <w:rPr>
                <w:rFonts w:ascii="Arial" w:hAnsi="Arial" w:cs="Arial"/>
                <w:color w:val="000000" w:themeColor="text1"/>
              </w:rPr>
              <w:t>89.1</w:t>
            </w:r>
            <w:r w:rsidRPr="00601D6C">
              <w:rPr>
                <w:rFonts w:ascii="Arial" w:hAnsi="Arial" w:cs="Arial"/>
                <w:color w:val="000000" w:themeColor="text1"/>
              </w:rPr>
              <w:t xml:space="preserve">% </w:t>
            </w:r>
          </w:p>
          <w:p w14:paraId="3E11B5A4" w14:textId="77777777" w:rsidR="00931587" w:rsidRPr="00601D6C" w:rsidRDefault="00931587" w:rsidP="00BE6BC7">
            <w:pPr>
              <w:pStyle w:val="NoSpacing"/>
              <w:jc w:val="center"/>
              <w:rPr>
                <w:rFonts w:ascii="Arial" w:hAnsi="Arial" w:cs="Arial"/>
                <w:color w:val="000000" w:themeColor="text1"/>
              </w:rPr>
            </w:pPr>
            <w:r>
              <w:rPr>
                <w:rFonts w:ascii="Arial" w:hAnsi="Arial" w:cs="Arial"/>
                <w:color w:val="000000" w:themeColor="text1"/>
              </w:rPr>
              <w:t>(June 2020</w:t>
            </w:r>
            <w:r w:rsidRPr="00601D6C">
              <w:rPr>
                <w:rFonts w:ascii="Arial" w:hAnsi="Arial" w:cs="Arial"/>
                <w:color w:val="000000" w:themeColor="text1"/>
              </w:rPr>
              <w:t>)</w:t>
            </w:r>
          </w:p>
          <w:p w14:paraId="48723A55" w14:textId="77777777" w:rsidR="00931587" w:rsidRPr="00601D6C" w:rsidRDefault="00931587" w:rsidP="00BE6BC7">
            <w:pPr>
              <w:pStyle w:val="NoSpacing"/>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9BFA" w14:textId="77777777" w:rsidR="00931587" w:rsidRPr="00F23639" w:rsidRDefault="00931587" w:rsidP="00BE6BC7">
            <w:pPr>
              <w:pStyle w:val="NoSpacing"/>
              <w:jc w:val="center"/>
              <w:rPr>
                <w:rFonts w:ascii="Arial" w:hAnsi="Arial" w:cs="Arial"/>
                <w:color w:val="FFFFFF" w:themeColor="background1"/>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50C280" w14:textId="77777777" w:rsidR="00931587" w:rsidRDefault="00931587" w:rsidP="00BE6BC7">
            <w:pPr>
              <w:pStyle w:val="NoSpacing"/>
              <w:jc w:val="center"/>
              <w:rPr>
                <w:rFonts w:ascii="Arial" w:hAnsi="Arial" w:cs="Arial"/>
              </w:rPr>
            </w:pPr>
            <w:r>
              <w:rPr>
                <w:rFonts w:ascii="Arial" w:hAnsi="Arial" w:cs="Arial"/>
              </w:rPr>
              <w:t xml:space="preserve">89.6% </w:t>
            </w:r>
          </w:p>
          <w:p w14:paraId="47428BEE" w14:textId="77777777" w:rsidR="00931587" w:rsidRPr="00F23639" w:rsidRDefault="00931587" w:rsidP="00BE6BC7">
            <w:pPr>
              <w:pStyle w:val="NoSpacing"/>
              <w:jc w:val="center"/>
              <w:rPr>
                <w:rFonts w:ascii="Arial" w:hAnsi="Arial" w:cs="Arial"/>
              </w:rPr>
            </w:pPr>
            <w:r>
              <w:rPr>
                <w:rFonts w:ascii="Arial" w:hAnsi="Arial" w:cs="Arial"/>
              </w:rPr>
              <w:t>(Dec 2020)</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FF04B9" w14:textId="77777777" w:rsidR="00931587" w:rsidRDefault="00931587" w:rsidP="00BE6BC7">
            <w:pPr>
              <w:pStyle w:val="NoSpacing"/>
              <w:jc w:val="center"/>
              <w:rPr>
                <w:rFonts w:ascii="Arial" w:hAnsi="Arial" w:cs="Arial"/>
              </w:rPr>
            </w:pPr>
            <w:r>
              <w:rPr>
                <w:rFonts w:ascii="Arial" w:hAnsi="Arial" w:cs="Arial"/>
              </w:rPr>
              <w:t xml:space="preserve">90.3% </w:t>
            </w:r>
            <w:r w:rsidRPr="00F23639">
              <w:rPr>
                <w:rFonts w:ascii="Arial" w:hAnsi="Arial" w:cs="Arial"/>
              </w:rPr>
              <w:t>(Dec 2020-Feb 2021 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65102F" w14:textId="75FB4B1B" w:rsidR="00931587" w:rsidRPr="00F23639" w:rsidRDefault="00931587" w:rsidP="00BE6BC7">
            <w:pPr>
              <w:pStyle w:val="NoSpacing"/>
              <w:jc w:val="center"/>
              <w:rPr>
                <w:rFonts w:ascii="Arial" w:hAnsi="Arial" w:cs="Arial"/>
              </w:rPr>
            </w:pPr>
            <w:r>
              <w:rPr>
                <w:rFonts w:ascii="Arial" w:hAnsi="Arial" w:cs="Arial"/>
              </w:rPr>
              <w:t>86%</w:t>
            </w:r>
            <w:r w:rsidR="000B18DF">
              <w:rPr>
                <w:rFonts w:ascii="Arial" w:hAnsi="Arial" w:cs="Arial"/>
              </w:rPr>
              <w:t xml:space="preserve"> </w:t>
            </w:r>
            <w:r w:rsidRPr="00F23639">
              <w:rPr>
                <w:rFonts w:ascii="Arial" w:hAnsi="Arial" w:cs="Arial"/>
              </w:rPr>
              <w:t>(Dec 2020-Feb 2021 average)</w:t>
            </w:r>
          </w:p>
        </w:tc>
      </w:tr>
    </w:tbl>
    <w:p w14:paraId="7EDD67F4" w14:textId="77777777" w:rsidR="00931587" w:rsidRPr="00F23639" w:rsidRDefault="00931587" w:rsidP="00931587">
      <w:pPr>
        <w:rPr>
          <w:rFonts w:cs="Arial"/>
        </w:rPr>
      </w:pPr>
    </w:p>
    <w:p w14:paraId="0EE9F793" w14:textId="60428325" w:rsidR="00931587" w:rsidRPr="00931587" w:rsidRDefault="00931587" w:rsidP="00931587">
      <w:pPr>
        <w:rPr>
          <w:rFonts w:cs="Arial"/>
          <w:sz w:val="22"/>
          <w:szCs w:val="22"/>
        </w:rPr>
      </w:pPr>
      <w:r w:rsidRPr="008762C7">
        <w:rPr>
          <w:rFonts w:cs="Arial"/>
          <w:b/>
          <w:sz w:val="22"/>
          <w:szCs w:val="22"/>
        </w:rPr>
        <w:t>Employment Education or Training (EET)</w:t>
      </w:r>
      <w:r w:rsidR="000525C9">
        <w:rPr>
          <w:rFonts w:cs="Arial"/>
        </w:rPr>
        <w:t xml:space="preserve">. </w:t>
      </w:r>
      <w:r>
        <w:rPr>
          <w:rFonts w:cs="Arial"/>
        </w:rPr>
        <w:t xml:space="preserve"> </w:t>
      </w:r>
      <w:bookmarkEnd w:id="3"/>
      <w:r w:rsidR="00ED23DA">
        <w:rPr>
          <w:rFonts w:cs="Arial"/>
          <w:sz w:val="22"/>
          <w:szCs w:val="22"/>
        </w:rPr>
        <w:t xml:space="preserve">The </w:t>
      </w:r>
      <w:r w:rsidRPr="00931587">
        <w:rPr>
          <w:rFonts w:cs="Arial"/>
          <w:sz w:val="22"/>
          <w:szCs w:val="22"/>
        </w:rPr>
        <w:t xml:space="preserve">continued focus on this area of work and the excellent engagement seen from secondary schools and post 16 providers has seen a sustained improvement in performance in this area.  This must be set against the extremely challenging circumstances which the education sector, as well as children and young people, has faced over the past 15 months.  The improvement in </w:t>
      </w:r>
      <w:r w:rsidR="00827E30">
        <w:rPr>
          <w:rFonts w:cs="Arial"/>
          <w:sz w:val="22"/>
          <w:szCs w:val="22"/>
        </w:rPr>
        <w:t>the</w:t>
      </w:r>
      <w:r w:rsidR="00827E30" w:rsidRPr="00931587">
        <w:rPr>
          <w:rFonts w:cs="Arial"/>
          <w:sz w:val="22"/>
          <w:szCs w:val="22"/>
        </w:rPr>
        <w:t xml:space="preserve"> </w:t>
      </w:r>
      <w:r w:rsidRPr="00931587">
        <w:rPr>
          <w:rFonts w:cs="Arial"/>
          <w:sz w:val="22"/>
          <w:szCs w:val="22"/>
        </w:rPr>
        <w:t>December 2020 to February 2021 3m</w:t>
      </w:r>
      <w:r w:rsidR="00715A70">
        <w:rPr>
          <w:rFonts w:cs="Arial"/>
          <w:sz w:val="22"/>
          <w:szCs w:val="22"/>
        </w:rPr>
        <w:t>on</w:t>
      </w:r>
      <w:r w:rsidRPr="00931587">
        <w:rPr>
          <w:rFonts w:cs="Arial"/>
          <w:sz w:val="22"/>
          <w:szCs w:val="22"/>
        </w:rPr>
        <w:t xml:space="preserve">th average from the previous year shows how hard the team has worked to engage with the sector, which has been faced with various other priorities.  This also reflects how hard the sector has worked to continue to support young people to make positive and sustained transitions to post 16 education, employment or training.  </w:t>
      </w:r>
    </w:p>
    <w:p w14:paraId="40CB86AA" w14:textId="3332A9A5" w:rsidR="00931587" w:rsidRPr="00931587" w:rsidRDefault="00AC296D" w:rsidP="00931587">
      <w:pPr>
        <w:rPr>
          <w:rFonts w:cs="Arial"/>
          <w:sz w:val="22"/>
          <w:szCs w:val="22"/>
        </w:rPr>
      </w:pPr>
      <w:r>
        <w:rPr>
          <w:rFonts w:cs="Arial"/>
          <w:sz w:val="22"/>
          <w:szCs w:val="22"/>
        </w:rPr>
        <w:t>T</w:t>
      </w:r>
      <w:r w:rsidR="00931587" w:rsidRPr="00931587">
        <w:rPr>
          <w:rFonts w:cs="Arial"/>
          <w:sz w:val="22"/>
          <w:szCs w:val="22"/>
        </w:rPr>
        <w:t>he percentage of 16 and</w:t>
      </w:r>
      <w:r w:rsidR="00BE0C2C">
        <w:rPr>
          <w:rFonts w:cs="Arial"/>
          <w:sz w:val="22"/>
          <w:szCs w:val="22"/>
        </w:rPr>
        <w:t xml:space="preserve"> </w:t>
      </w:r>
      <w:r w:rsidR="00931587" w:rsidRPr="00931587">
        <w:rPr>
          <w:rFonts w:cs="Arial"/>
          <w:sz w:val="22"/>
          <w:szCs w:val="22"/>
        </w:rPr>
        <w:t>17 year olds in EET was 94.2% based on the December 2020 to February 2021</w:t>
      </w:r>
      <w:r>
        <w:rPr>
          <w:rFonts w:cs="Arial"/>
          <w:sz w:val="22"/>
          <w:szCs w:val="22"/>
        </w:rPr>
        <w:t xml:space="preserve"> figures</w:t>
      </w:r>
      <w:r w:rsidR="00931587" w:rsidRPr="00931587">
        <w:rPr>
          <w:rFonts w:cs="Arial"/>
          <w:sz w:val="22"/>
          <w:szCs w:val="22"/>
        </w:rPr>
        <w:t>, compared to 93% in the previous year</w:t>
      </w:r>
      <w:r>
        <w:rPr>
          <w:rFonts w:cs="Arial"/>
          <w:sz w:val="22"/>
          <w:szCs w:val="22"/>
        </w:rPr>
        <w:t xml:space="preserve"> </w:t>
      </w:r>
      <w:r w:rsidR="00931587" w:rsidRPr="00931587">
        <w:rPr>
          <w:rFonts w:cs="Arial"/>
          <w:sz w:val="22"/>
          <w:szCs w:val="22"/>
        </w:rPr>
        <w:t>against a target of 94.7%.  At 90.3%, the position for young people with SEND has also improved compared to 88.9% in the previous year and that this performance is notably above the target of 86%.   </w:t>
      </w:r>
    </w:p>
    <w:p w14:paraId="5AF9ED71" w14:textId="77777777" w:rsidR="00931587" w:rsidRPr="00931587" w:rsidRDefault="00931587" w:rsidP="00931587">
      <w:pPr>
        <w:rPr>
          <w:rFonts w:cs="Arial"/>
          <w:sz w:val="22"/>
          <w:szCs w:val="22"/>
        </w:rPr>
      </w:pPr>
      <w:r w:rsidRPr="00931587">
        <w:rPr>
          <w:rFonts w:cs="Arial"/>
          <w:sz w:val="22"/>
          <w:szCs w:val="22"/>
        </w:rPr>
        <w:t xml:space="preserve">The notable improvements in the EET figures are naturally reflected in the Not in Education Employment and Training (NEET) and not known figures.  As at April 2021, the NEET and not known figures are as follows: </w:t>
      </w:r>
    </w:p>
    <w:p w14:paraId="4116DF0B" w14:textId="316639B6" w:rsidR="00931587" w:rsidRPr="00931587" w:rsidRDefault="00931587" w:rsidP="00931587">
      <w:pPr>
        <w:pStyle w:val="ListParagraph"/>
        <w:numPr>
          <w:ilvl w:val="0"/>
          <w:numId w:val="15"/>
        </w:numPr>
        <w:autoSpaceDE/>
        <w:autoSpaceDN/>
        <w:adjustRightInd/>
        <w:spacing w:after="0"/>
        <w:contextualSpacing w:val="0"/>
        <w:jc w:val="left"/>
        <w:rPr>
          <w:rFonts w:eastAsia="Times New Roman" w:cs="Arial"/>
          <w:color w:val="auto"/>
          <w:sz w:val="22"/>
          <w:szCs w:val="22"/>
        </w:rPr>
      </w:pPr>
      <w:r w:rsidRPr="00931587">
        <w:rPr>
          <w:rFonts w:eastAsia="Times New Roman" w:cs="Arial"/>
          <w:sz w:val="22"/>
          <w:szCs w:val="22"/>
        </w:rPr>
        <w:t>All 16 and 17</w:t>
      </w:r>
      <w:r w:rsidR="00BE0C2C">
        <w:rPr>
          <w:rFonts w:eastAsia="Times New Roman" w:cs="Arial"/>
          <w:sz w:val="22"/>
          <w:szCs w:val="22"/>
        </w:rPr>
        <w:t xml:space="preserve"> </w:t>
      </w:r>
      <w:r w:rsidRPr="00931587">
        <w:rPr>
          <w:rFonts w:eastAsia="Times New Roman" w:cs="Arial"/>
          <w:sz w:val="22"/>
          <w:szCs w:val="22"/>
        </w:rPr>
        <w:t>y</w:t>
      </w:r>
      <w:r w:rsidR="00715A70">
        <w:rPr>
          <w:rFonts w:eastAsia="Times New Roman" w:cs="Arial"/>
          <w:sz w:val="22"/>
          <w:szCs w:val="22"/>
        </w:rPr>
        <w:t>ea</w:t>
      </w:r>
      <w:r w:rsidRPr="00931587">
        <w:rPr>
          <w:rFonts w:eastAsia="Times New Roman" w:cs="Arial"/>
          <w:sz w:val="22"/>
          <w:szCs w:val="22"/>
        </w:rPr>
        <w:t xml:space="preserve">r olds in Lancashire: NEET is 3.2% (866 young people), compared to 2.7% (704 young people) in April 2020 and not knowns are 1.9% (507 young people), compared to 3.6% (913 young people) in April 2020.  It must be noted that the Not Known group will always contain a proportion of NEET young people so as the not knowns go down, there will be an impact on NEETs.  The positive is that, between the two years, the not knowns decreased by 406 young people and the NEET increased by 162, showing that 244 young people were in a positive destination rather than being not known  </w:t>
      </w:r>
    </w:p>
    <w:p w14:paraId="25777E6B" w14:textId="77777777" w:rsidR="00931587" w:rsidRPr="00931587" w:rsidRDefault="00931587" w:rsidP="00931587">
      <w:pPr>
        <w:pStyle w:val="ListParagraph"/>
        <w:numPr>
          <w:ilvl w:val="0"/>
          <w:numId w:val="15"/>
        </w:numPr>
        <w:autoSpaceDE/>
        <w:autoSpaceDN/>
        <w:adjustRightInd/>
        <w:spacing w:after="0"/>
        <w:contextualSpacing w:val="0"/>
        <w:jc w:val="left"/>
        <w:rPr>
          <w:rFonts w:eastAsia="Times New Roman" w:cs="Arial"/>
          <w:sz w:val="22"/>
          <w:szCs w:val="22"/>
        </w:rPr>
      </w:pPr>
      <w:r w:rsidRPr="00931587">
        <w:rPr>
          <w:rFonts w:eastAsia="Times New Roman" w:cs="Arial"/>
          <w:sz w:val="22"/>
          <w:szCs w:val="22"/>
        </w:rPr>
        <w:t>Young people with SEND: NEET is 8.8% (90 young people), compared to 8.7% (87 young people) in April 2020 and not knowns are 1.2% (12 young people), compared to 1.5% (15 young people) in April 2020</w:t>
      </w:r>
    </w:p>
    <w:p w14:paraId="7439850B" w14:textId="77777777" w:rsidR="00931587" w:rsidRPr="00931587" w:rsidRDefault="00931587" w:rsidP="00931587">
      <w:pPr>
        <w:pStyle w:val="ListParagraph"/>
        <w:numPr>
          <w:ilvl w:val="0"/>
          <w:numId w:val="15"/>
        </w:numPr>
        <w:autoSpaceDE/>
        <w:autoSpaceDN/>
        <w:adjustRightInd/>
        <w:spacing w:after="0"/>
        <w:contextualSpacing w:val="0"/>
        <w:jc w:val="left"/>
        <w:rPr>
          <w:rFonts w:eastAsia="Times New Roman" w:cs="Arial"/>
          <w:sz w:val="22"/>
          <w:szCs w:val="22"/>
        </w:rPr>
      </w:pPr>
      <w:r w:rsidRPr="00931587">
        <w:rPr>
          <w:rFonts w:eastAsia="Times New Roman" w:cs="Arial"/>
          <w:sz w:val="22"/>
          <w:szCs w:val="22"/>
        </w:rPr>
        <w:t>Young people with an EHCP: NEET is 7.9% (75 young people), compared to 8.6% (78 young people) in April 2020 and not knowns are 0.7% (seven young people), compared to 0.7% (six young people) in April 2020</w:t>
      </w:r>
    </w:p>
    <w:p w14:paraId="5DB1DD59" w14:textId="77777777" w:rsidR="00931587" w:rsidRPr="00931587" w:rsidRDefault="00931587" w:rsidP="00931587">
      <w:pPr>
        <w:pStyle w:val="ListParagraph"/>
        <w:numPr>
          <w:ilvl w:val="0"/>
          <w:numId w:val="15"/>
        </w:numPr>
        <w:autoSpaceDE/>
        <w:autoSpaceDN/>
        <w:adjustRightInd/>
        <w:spacing w:after="0"/>
        <w:contextualSpacing w:val="0"/>
        <w:jc w:val="left"/>
        <w:rPr>
          <w:rFonts w:eastAsia="Times New Roman" w:cs="Arial"/>
          <w:sz w:val="22"/>
          <w:szCs w:val="22"/>
        </w:rPr>
      </w:pPr>
      <w:r w:rsidRPr="00931587">
        <w:rPr>
          <w:rFonts w:eastAsia="Times New Roman" w:cs="Arial"/>
          <w:sz w:val="22"/>
          <w:szCs w:val="22"/>
        </w:rPr>
        <w:lastRenderedPageBreak/>
        <w:t>Young people for whom LCC is their corporate parent: NEET is 21.1% (66 young people), compared to 24.3% (73 young people) in April 2020 and not knowns are 0.3% (one young person), compared to 2.7% (eight young people) in April 2020</w:t>
      </w:r>
    </w:p>
    <w:p w14:paraId="0B857DF8" w14:textId="77777777" w:rsidR="00931587" w:rsidRPr="00931587" w:rsidRDefault="00931587" w:rsidP="00931587">
      <w:pPr>
        <w:rPr>
          <w:rFonts w:eastAsiaTheme="minorHAnsi" w:cs="Arial"/>
          <w:sz w:val="22"/>
          <w:szCs w:val="22"/>
        </w:rPr>
      </w:pPr>
    </w:p>
    <w:p w14:paraId="1B3E5662" w14:textId="298D3870" w:rsidR="00931587" w:rsidRPr="00931587" w:rsidRDefault="00931587" w:rsidP="00931587">
      <w:pPr>
        <w:rPr>
          <w:rFonts w:cs="Arial"/>
          <w:sz w:val="22"/>
          <w:szCs w:val="22"/>
        </w:rPr>
      </w:pPr>
      <w:r w:rsidRPr="00931587">
        <w:rPr>
          <w:rFonts w:cs="Arial"/>
          <w:sz w:val="22"/>
          <w:szCs w:val="22"/>
        </w:rPr>
        <w:t>A range of actions continue to be undertaken by a dedicated team to improve the NEET and not known position</w:t>
      </w:r>
      <w:r w:rsidR="006175B4">
        <w:rPr>
          <w:rFonts w:cs="Arial"/>
          <w:sz w:val="22"/>
          <w:szCs w:val="22"/>
        </w:rPr>
        <w:t>, including a focus on vulnerable groups,</w:t>
      </w:r>
      <w:r w:rsidRPr="00931587">
        <w:rPr>
          <w:rFonts w:cs="Arial"/>
          <w:sz w:val="22"/>
          <w:szCs w:val="22"/>
        </w:rPr>
        <w:t xml:space="preserve"> and to ensure LCC is meeting the statutory duties for this area of work.  </w:t>
      </w:r>
      <w:r w:rsidR="00A8108F">
        <w:rPr>
          <w:rFonts w:cs="Arial"/>
          <w:sz w:val="22"/>
          <w:szCs w:val="22"/>
        </w:rPr>
        <w:t>The team</w:t>
      </w:r>
      <w:r w:rsidR="00A8108F" w:rsidRPr="00931587">
        <w:rPr>
          <w:rFonts w:cs="Arial"/>
          <w:sz w:val="22"/>
          <w:szCs w:val="22"/>
        </w:rPr>
        <w:t xml:space="preserve"> </w:t>
      </w:r>
      <w:r w:rsidRPr="00931587">
        <w:rPr>
          <w:rFonts w:cs="Arial"/>
          <w:sz w:val="22"/>
          <w:szCs w:val="22"/>
        </w:rPr>
        <w:t>continue</w:t>
      </w:r>
      <w:r w:rsidR="00A8108F">
        <w:rPr>
          <w:rFonts w:cs="Arial"/>
          <w:sz w:val="22"/>
          <w:szCs w:val="22"/>
        </w:rPr>
        <w:t>s</w:t>
      </w:r>
      <w:r w:rsidRPr="00931587">
        <w:rPr>
          <w:rFonts w:cs="Arial"/>
          <w:sz w:val="22"/>
          <w:szCs w:val="22"/>
        </w:rPr>
        <w:t xml:space="preserve"> to engage with other teams internally and are looking at how data</w:t>
      </w:r>
      <w:r w:rsidR="00A8108F">
        <w:rPr>
          <w:rFonts w:cs="Arial"/>
          <w:sz w:val="22"/>
          <w:szCs w:val="22"/>
        </w:rPr>
        <w:t xml:space="preserve"> can be shared</w:t>
      </w:r>
      <w:r w:rsidRPr="00931587">
        <w:rPr>
          <w:rFonts w:cs="Arial"/>
          <w:sz w:val="22"/>
          <w:szCs w:val="22"/>
        </w:rPr>
        <w:t xml:space="preserve"> with the Inclusion Service around young people with SEND or with an EHCP.  Further work needs to be done in relation to how to track young people for whom there </w:t>
      </w:r>
      <w:r w:rsidR="00131AA3">
        <w:rPr>
          <w:rFonts w:cs="Arial"/>
          <w:sz w:val="22"/>
          <w:szCs w:val="22"/>
        </w:rPr>
        <w:t>are</w:t>
      </w:r>
      <w:r w:rsidR="00131AA3" w:rsidRPr="00931587">
        <w:rPr>
          <w:rFonts w:cs="Arial"/>
          <w:sz w:val="22"/>
          <w:szCs w:val="22"/>
        </w:rPr>
        <w:t xml:space="preserve"> </w:t>
      </w:r>
      <w:r w:rsidRPr="00931587">
        <w:rPr>
          <w:rFonts w:cs="Arial"/>
          <w:sz w:val="22"/>
          <w:szCs w:val="22"/>
        </w:rPr>
        <w:t xml:space="preserve">no contact details.  </w:t>
      </w:r>
    </w:p>
    <w:p w14:paraId="4184A56C" w14:textId="77777777" w:rsidR="00931587" w:rsidRPr="00B54ECB" w:rsidRDefault="00931587" w:rsidP="00931587">
      <w:pPr>
        <w:rPr>
          <w:rFonts w:cs="Arial"/>
          <w:sz w:val="22"/>
          <w:szCs w:val="22"/>
        </w:rPr>
      </w:pPr>
    </w:p>
    <w:p w14:paraId="18CB0670" w14:textId="77777777" w:rsidR="00931587" w:rsidRDefault="00931587" w:rsidP="00931587">
      <w:pPr>
        <w:rPr>
          <w:rFonts w:cs="Arial"/>
          <w:color w:val="auto"/>
          <w:sz w:val="22"/>
          <w:szCs w:val="22"/>
        </w:rPr>
      </w:pPr>
      <w:r>
        <w:rPr>
          <w:rFonts w:cs="Arial"/>
          <w:b/>
          <w:color w:val="auto"/>
          <w:sz w:val="22"/>
          <w:szCs w:val="22"/>
        </w:rPr>
        <w:t>Exclusions.</w:t>
      </w:r>
      <w:r>
        <w:rPr>
          <w:rFonts w:cs="Arial"/>
          <w:color w:val="auto"/>
          <w:sz w:val="22"/>
          <w:szCs w:val="22"/>
        </w:rPr>
        <w:t xml:space="preserve"> </w:t>
      </w:r>
      <w:r w:rsidRPr="00931587">
        <w:rPr>
          <w:rFonts w:cs="Arial"/>
          <w:sz w:val="22"/>
          <w:szCs w:val="22"/>
        </w:rPr>
        <w:t>The updated Exclusions DfE data is scheduled to be published in July 2021.</w:t>
      </w:r>
    </w:p>
    <w:p w14:paraId="57F298F2" w14:textId="77777777" w:rsidR="00931587" w:rsidRPr="00931587" w:rsidRDefault="00931587" w:rsidP="00931587">
      <w:pPr>
        <w:rPr>
          <w:lang w:eastAsia="en-GB"/>
        </w:rPr>
      </w:pPr>
    </w:p>
    <w:tbl>
      <w:tblPr>
        <w:tblW w:w="13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329"/>
        <w:gridCol w:w="1474"/>
        <w:gridCol w:w="845"/>
        <w:gridCol w:w="1168"/>
        <w:gridCol w:w="1351"/>
        <w:gridCol w:w="1613"/>
        <w:gridCol w:w="1488"/>
        <w:gridCol w:w="1562"/>
        <w:gridCol w:w="1225"/>
      </w:tblGrid>
      <w:tr w:rsidR="005F2EB2" w:rsidRPr="00FA30B2" w14:paraId="6EC062A0" w14:textId="77777777" w:rsidTr="005F2EB2">
        <w:trPr>
          <w:trHeight w:val="433"/>
        </w:trPr>
        <w:tc>
          <w:tcPr>
            <w:tcW w:w="1898" w:type="dxa"/>
            <w:tcBorders>
              <w:top w:val="single" w:sz="4" w:space="0" w:color="auto"/>
              <w:left w:val="single" w:sz="4" w:space="0" w:color="auto"/>
              <w:bottom w:val="single" w:sz="4" w:space="0" w:color="auto"/>
              <w:right w:val="single" w:sz="4" w:space="0" w:color="auto"/>
            </w:tcBorders>
          </w:tcPr>
          <w:p w14:paraId="3C0E306F" w14:textId="7B4BD86E" w:rsidR="005F2EB2" w:rsidRPr="006C07CE" w:rsidRDefault="005F2EB2" w:rsidP="005F2EB2">
            <w:pPr>
              <w:pStyle w:val="NoSpacing"/>
              <w:rPr>
                <w:rFonts w:ascii="Arial" w:hAnsi="Arial" w:cs="Arial"/>
                <w:b/>
              </w:rPr>
            </w:pPr>
            <w:bookmarkStart w:id="4" w:name="_Hlk73108552"/>
            <w:r w:rsidRPr="006C07CE">
              <w:rPr>
                <w:rFonts w:ascii="Arial" w:hAnsi="Arial" w:cs="Arial"/>
                <w:b/>
              </w:rPr>
              <w:t>Performance Indicator</w:t>
            </w:r>
          </w:p>
        </w:tc>
        <w:tc>
          <w:tcPr>
            <w:tcW w:w="1329" w:type="dxa"/>
            <w:tcBorders>
              <w:top w:val="single" w:sz="4" w:space="0" w:color="auto"/>
              <w:left w:val="single" w:sz="4" w:space="0" w:color="auto"/>
              <w:bottom w:val="single" w:sz="4" w:space="0" w:color="auto"/>
              <w:right w:val="single" w:sz="4" w:space="0" w:color="auto"/>
            </w:tcBorders>
          </w:tcPr>
          <w:p w14:paraId="0764D46A" w14:textId="4C242AC3" w:rsidR="005F2EB2" w:rsidRPr="006C07CE" w:rsidRDefault="005F2EB2" w:rsidP="005F2EB2">
            <w:pPr>
              <w:pStyle w:val="NoSpacing"/>
              <w:rPr>
                <w:rFonts w:ascii="Arial" w:hAnsi="Arial" w:cs="Arial"/>
                <w:b/>
              </w:rPr>
            </w:pPr>
            <w:r w:rsidRPr="006C07CE">
              <w:rPr>
                <w:rFonts w:ascii="Arial" w:hAnsi="Arial" w:cs="Arial"/>
                <w:b/>
              </w:rPr>
              <w:t>Frequency</w:t>
            </w:r>
          </w:p>
        </w:tc>
        <w:tc>
          <w:tcPr>
            <w:tcW w:w="1474" w:type="dxa"/>
            <w:tcBorders>
              <w:top w:val="single" w:sz="4" w:space="0" w:color="auto"/>
              <w:left w:val="single" w:sz="4" w:space="0" w:color="auto"/>
              <w:bottom w:val="single" w:sz="4" w:space="0" w:color="auto"/>
              <w:right w:val="single" w:sz="4" w:space="0" w:color="auto"/>
            </w:tcBorders>
          </w:tcPr>
          <w:p w14:paraId="4235A1ED" w14:textId="07BF1D31" w:rsidR="005F2EB2" w:rsidRPr="006C07CE" w:rsidRDefault="005F2EB2" w:rsidP="005F2EB2">
            <w:pPr>
              <w:pStyle w:val="NoSpacing"/>
              <w:rPr>
                <w:rFonts w:ascii="Arial" w:hAnsi="Arial" w:cs="Arial"/>
                <w:b/>
              </w:rPr>
            </w:pPr>
            <w:r w:rsidRPr="006C07CE">
              <w:rPr>
                <w:rFonts w:ascii="Arial" w:hAnsi="Arial" w:cs="Arial"/>
                <w:b/>
              </w:rPr>
              <w:t xml:space="preserve">Directorate </w:t>
            </w:r>
          </w:p>
        </w:tc>
        <w:tc>
          <w:tcPr>
            <w:tcW w:w="845" w:type="dxa"/>
            <w:tcBorders>
              <w:top w:val="single" w:sz="4" w:space="0" w:color="auto"/>
              <w:left w:val="single" w:sz="4" w:space="0" w:color="auto"/>
              <w:bottom w:val="single" w:sz="4" w:space="0" w:color="auto"/>
              <w:right w:val="single" w:sz="4" w:space="0" w:color="auto"/>
            </w:tcBorders>
          </w:tcPr>
          <w:p w14:paraId="1E91DC83" w14:textId="3AA0A32A" w:rsidR="005F2EB2" w:rsidRPr="006C07CE" w:rsidRDefault="005F2EB2" w:rsidP="005F2EB2">
            <w:pPr>
              <w:pStyle w:val="NoSpacing"/>
              <w:rPr>
                <w:rFonts w:ascii="Arial" w:hAnsi="Arial" w:cs="Arial"/>
                <w:b/>
              </w:rPr>
            </w:pPr>
            <w:r w:rsidRPr="006C07CE">
              <w:rPr>
                <w:rFonts w:ascii="Arial" w:hAnsi="Arial" w:cs="Arial"/>
                <w:b/>
              </w:rPr>
              <w:t>Good is</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9D35305" w14:textId="063C19C9" w:rsidR="005F2EB2" w:rsidRPr="006C07CE" w:rsidRDefault="005F2EB2" w:rsidP="005F2EB2">
            <w:pPr>
              <w:pStyle w:val="NoSpacing"/>
              <w:rPr>
                <w:rFonts w:ascii="Arial" w:hAnsi="Arial" w:cs="Arial"/>
                <w:b/>
              </w:rPr>
            </w:pPr>
            <w:r w:rsidRPr="006C07CE">
              <w:rPr>
                <w:rFonts w:ascii="Arial" w:hAnsi="Arial" w:cs="Arial"/>
                <w:b/>
              </w:rPr>
              <w:t>2019/20 Outturn</w:t>
            </w:r>
          </w:p>
        </w:tc>
        <w:tc>
          <w:tcPr>
            <w:tcW w:w="1351" w:type="dxa"/>
            <w:tcBorders>
              <w:top w:val="single" w:sz="4" w:space="0" w:color="auto"/>
              <w:left w:val="single" w:sz="4" w:space="0" w:color="auto"/>
              <w:bottom w:val="single" w:sz="4" w:space="0" w:color="auto"/>
              <w:right w:val="single" w:sz="4" w:space="0" w:color="auto"/>
            </w:tcBorders>
          </w:tcPr>
          <w:p w14:paraId="5B24968B" w14:textId="3CB8C4C1" w:rsidR="005F2EB2" w:rsidRPr="006C07CE" w:rsidRDefault="005F2EB2" w:rsidP="005F2EB2">
            <w:pPr>
              <w:pStyle w:val="NoSpacing"/>
              <w:rPr>
                <w:rFonts w:ascii="Arial" w:hAnsi="Arial" w:cs="Arial"/>
                <w:b/>
              </w:rPr>
            </w:pPr>
            <w:r w:rsidRPr="006C07CE">
              <w:rPr>
                <w:rFonts w:ascii="Arial" w:hAnsi="Arial" w:cs="Arial"/>
                <w:b/>
              </w:rPr>
              <w:t>2020/21 Quarter 1 (April –June)</w:t>
            </w:r>
          </w:p>
        </w:tc>
        <w:tc>
          <w:tcPr>
            <w:tcW w:w="1613" w:type="dxa"/>
            <w:tcBorders>
              <w:top w:val="single" w:sz="4" w:space="0" w:color="auto"/>
              <w:left w:val="single" w:sz="4" w:space="0" w:color="auto"/>
              <w:bottom w:val="single" w:sz="4" w:space="0" w:color="auto"/>
              <w:right w:val="single" w:sz="4" w:space="0" w:color="auto"/>
            </w:tcBorders>
          </w:tcPr>
          <w:p w14:paraId="25B04763" w14:textId="7BA196FE" w:rsidR="005F2EB2" w:rsidRPr="006C07CE" w:rsidRDefault="005F2EB2" w:rsidP="005F2EB2">
            <w:pPr>
              <w:pStyle w:val="NoSpacing"/>
              <w:rPr>
                <w:rFonts w:ascii="Arial" w:hAnsi="Arial" w:cs="Arial"/>
                <w:b/>
              </w:rPr>
            </w:pPr>
            <w:r w:rsidRPr="006C07CE">
              <w:rPr>
                <w:rFonts w:ascii="Arial" w:hAnsi="Arial" w:cs="Arial"/>
                <w:b/>
              </w:rPr>
              <w:t>2020/21 Quarter 2 (July –September)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6AF6239" w14:textId="5A6BFBB0" w:rsidR="005F2EB2" w:rsidRPr="006C07CE" w:rsidRDefault="005F2EB2" w:rsidP="005F2EB2">
            <w:pPr>
              <w:pStyle w:val="NoSpacing"/>
              <w:rPr>
                <w:rFonts w:ascii="Arial" w:hAnsi="Arial" w:cs="Arial"/>
                <w:b/>
              </w:rPr>
            </w:pPr>
            <w:r w:rsidRPr="006C07CE">
              <w:rPr>
                <w:rFonts w:ascii="Arial" w:hAnsi="Arial" w:cs="Arial"/>
                <w:b/>
              </w:rPr>
              <w:t>2020/21 Quarter 3 (October - December)</w:t>
            </w:r>
          </w:p>
        </w:tc>
        <w:tc>
          <w:tcPr>
            <w:tcW w:w="1562" w:type="dxa"/>
            <w:tcBorders>
              <w:top w:val="single" w:sz="4" w:space="0" w:color="auto"/>
              <w:left w:val="single" w:sz="4" w:space="0" w:color="auto"/>
              <w:bottom w:val="single" w:sz="4" w:space="0" w:color="auto"/>
              <w:right w:val="single" w:sz="4" w:space="0" w:color="auto"/>
            </w:tcBorders>
          </w:tcPr>
          <w:p w14:paraId="1B462B38" w14:textId="47AC8F48" w:rsidR="005F2EB2" w:rsidRPr="006C07CE" w:rsidRDefault="005F2EB2" w:rsidP="005F2EB2">
            <w:pPr>
              <w:pStyle w:val="NoSpacing"/>
              <w:rPr>
                <w:rFonts w:ascii="Arial" w:hAnsi="Arial" w:cs="Arial"/>
                <w:bCs/>
              </w:rPr>
            </w:pPr>
            <w:r w:rsidRPr="006C07CE">
              <w:rPr>
                <w:rFonts w:ascii="Arial" w:hAnsi="Arial" w:cs="Arial"/>
                <w:b/>
              </w:rPr>
              <w:t>2020/21 Quarter 4 (January - March)</w:t>
            </w:r>
          </w:p>
        </w:tc>
        <w:tc>
          <w:tcPr>
            <w:tcW w:w="1225" w:type="dxa"/>
            <w:tcBorders>
              <w:top w:val="single" w:sz="4" w:space="0" w:color="auto"/>
              <w:left w:val="single" w:sz="4" w:space="0" w:color="auto"/>
              <w:bottom w:val="single" w:sz="4" w:space="0" w:color="auto"/>
              <w:right w:val="single" w:sz="4" w:space="0" w:color="auto"/>
            </w:tcBorders>
          </w:tcPr>
          <w:p w14:paraId="41582CED" w14:textId="52218546" w:rsidR="005F2EB2" w:rsidRPr="006C07CE" w:rsidRDefault="005F2EB2" w:rsidP="005F2EB2">
            <w:pPr>
              <w:pStyle w:val="NoSpacing"/>
              <w:rPr>
                <w:rFonts w:ascii="Arial" w:hAnsi="Arial" w:cs="Arial"/>
                <w:b/>
              </w:rPr>
            </w:pPr>
            <w:r w:rsidRPr="006C07CE">
              <w:rPr>
                <w:rFonts w:ascii="Arial" w:hAnsi="Arial" w:cs="Arial"/>
                <w:b/>
              </w:rPr>
              <w:t>2020/21 Target</w:t>
            </w:r>
          </w:p>
        </w:tc>
      </w:tr>
      <w:bookmarkEnd w:id="4"/>
      <w:tr w:rsidR="005F2EB2" w:rsidRPr="0060756D" w14:paraId="3A355B13" w14:textId="77777777" w:rsidTr="005F2EB2">
        <w:trPr>
          <w:trHeight w:val="993"/>
        </w:trPr>
        <w:tc>
          <w:tcPr>
            <w:tcW w:w="1898" w:type="dxa"/>
            <w:tcBorders>
              <w:top w:val="single" w:sz="4" w:space="0" w:color="auto"/>
              <w:left w:val="single" w:sz="4" w:space="0" w:color="auto"/>
              <w:bottom w:val="single" w:sz="4" w:space="0" w:color="auto"/>
              <w:right w:val="single" w:sz="4" w:space="0" w:color="auto"/>
            </w:tcBorders>
          </w:tcPr>
          <w:p w14:paraId="65948EDB" w14:textId="77777777" w:rsidR="005F2EB2" w:rsidRPr="0060756D" w:rsidRDefault="005F2EB2" w:rsidP="005F2EB2">
            <w:pPr>
              <w:pStyle w:val="NoSpacing"/>
              <w:rPr>
                <w:rFonts w:ascii="Arial" w:hAnsi="Arial" w:cs="Arial"/>
              </w:rPr>
            </w:pPr>
            <w:r w:rsidRPr="0060756D">
              <w:rPr>
                <w:rFonts w:ascii="Arial" w:hAnsi="Arial" w:cs="Arial"/>
              </w:rPr>
              <w:t>Percentage of adults with learning disabilities in employment</w:t>
            </w:r>
          </w:p>
        </w:tc>
        <w:tc>
          <w:tcPr>
            <w:tcW w:w="1329" w:type="dxa"/>
            <w:tcBorders>
              <w:top w:val="single" w:sz="4" w:space="0" w:color="auto"/>
              <w:left w:val="single" w:sz="4" w:space="0" w:color="auto"/>
              <w:bottom w:val="single" w:sz="4" w:space="0" w:color="auto"/>
              <w:right w:val="single" w:sz="4" w:space="0" w:color="auto"/>
            </w:tcBorders>
          </w:tcPr>
          <w:p w14:paraId="0F3955C8" w14:textId="77777777" w:rsidR="005F2EB2" w:rsidRPr="0060756D" w:rsidRDefault="005F2EB2" w:rsidP="005F2EB2">
            <w:pPr>
              <w:pStyle w:val="NoSpacing"/>
              <w:rPr>
                <w:rFonts w:ascii="Arial" w:hAnsi="Arial" w:cs="Arial"/>
              </w:rPr>
            </w:pPr>
            <w:r w:rsidRPr="0060756D">
              <w:rPr>
                <w:rFonts w:ascii="Arial" w:hAnsi="Arial" w:cs="Arial"/>
              </w:rPr>
              <w:t>Quarterly</w:t>
            </w:r>
          </w:p>
        </w:tc>
        <w:tc>
          <w:tcPr>
            <w:tcW w:w="1474" w:type="dxa"/>
            <w:tcBorders>
              <w:top w:val="single" w:sz="4" w:space="0" w:color="auto"/>
              <w:left w:val="single" w:sz="4" w:space="0" w:color="auto"/>
              <w:bottom w:val="single" w:sz="4" w:space="0" w:color="auto"/>
              <w:right w:val="single" w:sz="4" w:space="0" w:color="auto"/>
            </w:tcBorders>
          </w:tcPr>
          <w:p w14:paraId="259C948D" w14:textId="77777777" w:rsidR="005F2EB2" w:rsidRPr="0060756D" w:rsidRDefault="005F2EB2" w:rsidP="005F2EB2">
            <w:pPr>
              <w:pStyle w:val="NoSpacing"/>
              <w:rPr>
                <w:rFonts w:ascii="Arial" w:hAnsi="Arial" w:cs="Arial"/>
              </w:rPr>
            </w:pPr>
            <w:r w:rsidRPr="0060756D">
              <w:rPr>
                <w:rFonts w:ascii="Arial" w:hAnsi="Arial" w:cs="Arial"/>
              </w:rPr>
              <w:t>Adults Services and Health and Wellbeing</w:t>
            </w:r>
          </w:p>
        </w:tc>
        <w:tc>
          <w:tcPr>
            <w:tcW w:w="845" w:type="dxa"/>
            <w:tcBorders>
              <w:top w:val="single" w:sz="4" w:space="0" w:color="auto"/>
              <w:left w:val="single" w:sz="4" w:space="0" w:color="auto"/>
              <w:bottom w:val="single" w:sz="4" w:space="0" w:color="auto"/>
              <w:right w:val="single" w:sz="4" w:space="0" w:color="auto"/>
            </w:tcBorders>
          </w:tcPr>
          <w:p w14:paraId="02FBB639" w14:textId="77777777" w:rsidR="005F2EB2" w:rsidRPr="0060756D" w:rsidRDefault="005F2EB2" w:rsidP="005F2EB2">
            <w:pPr>
              <w:pStyle w:val="NoSpacing"/>
              <w:rPr>
                <w:rFonts w:ascii="Arial" w:hAnsi="Arial" w:cs="Arial"/>
              </w:rPr>
            </w:pPr>
            <w:r w:rsidRPr="0060756D">
              <w:rPr>
                <w:rFonts w:ascii="Arial" w:hAnsi="Arial" w:cs="Arial"/>
              </w:rPr>
              <w:t>High</w:t>
            </w:r>
          </w:p>
        </w:tc>
        <w:tc>
          <w:tcPr>
            <w:tcW w:w="1168" w:type="dxa"/>
            <w:tcBorders>
              <w:top w:val="single" w:sz="4" w:space="0" w:color="auto"/>
              <w:left w:val="single" w:sz="4" w:space="0" w:color="auto"/>
              <w:bottom w:val="single" w:sz="4" w:space="0" w:color="auto"/>
              <w:right w:val="single" w:sz="4" w:space="0" w:color="auto"/>
            </w:tcBorders>
            <w:shd w:val="clear" w:color="auto" w:fill="FF0000"/>
          </w:tcPr>
          <w:p w14:paraId="12079158" w14:textId="77777777" w:rsidR="005F2EB2" w:rsidRPr="0060756D" w:rsidRDefault="005F2EB2" w:rsidP="005F2EB2">
            <w:pPr>
              <w:pStyle w:val="NoSpacing"/>
              <w:jc w:val="center"/>
              <w:rPr>
                <w:rFonts w:ascii="Arial" w:hAnsi="Arial" w:cs="Arial"/>
              </w:rPr>
            </w:pPr>
            <w:r w:rsidRPr="0060756D">
              <w:rPr>
                <w:rFonts w:ascii="Arial" w:hAnsi="Arial" w:cs="Arial"/>
              </w:rPr>
              <w:t>2.02%</w:t>
            </w:r>
          </w:p>
        </w:tc>
        <w:tc>
          <w:tcPr>
            <w:tcW w:w="1351" w:type="dxa"/>
            <w:tcBorders>
              <w:top w:val="single" w:sz="4" w:space="0" w:color="auto"/>
              <w:left w:val="single" w:sz="4" w:space="0" w:color="auto"/>
              <w:bottom w:val="single" w:sz="4" w:space="0" w:color="auto"/>
              <w:right w:val="single" w:sz="4" w:space="0" w:color="auto"/>
            </w:tcBorders>
            <w:shd w:val="clear" w:color="auto" w:fill="FF0000"/>
          </w:tcPr>
          <w:p w14:paraId="475F95FD" w14:textId="77777777" w:rsidR="005F2EB2" w:rsidRPr="0060756D" w:rsidRDefault="005F2EB2" w:rsidP="005F2EB2">
            <w:pPr>
              <w:pStyle w:val="NoSpacing"/>
              <w:jc w:val="center"/>
              <w:rPr>
                <w:rFonts w:ascii="Arial" w:hAnsi="Arial" w:cs="Arial"/>
              </w:rPr>
            </w:pPr>
            <w:r>
              <w:rPr>
                <w:rFonts w:ascii="Arial" w:hAnsi="Arial" w:cs="Arial"/>
              </w:rPr>
              <w:t>1.99%</w:t>
            </w:r>
          </w:p>
        </w:tc>
        <w:tc>
          <w:tcPr>
            <w:tcW w:w="1613" w:type="dxa"/>
            <w:tcBorders>
              <w:top w:val="single" w:sz="4" w:space="0" w:color="auto"/>
              <w:left w:val="single" w:sz="4" w:space="0" w:color="auto"/>
              <w:bottom w:val="single" w:sz="4" w:space="0" w:color="auto"/>
              <w:right w:val="single" w:sz="4" w:space="0" w:color="auto"/>
            </w:tcBorders>
            <w:shd w:val="clear" w:color="auto" w:fill="FF0000"/>
          </w:tcPr>
          <w:p w14:paraId="3909ED84" w14:textId="77777777" w:rsidR="005F2EB2" w:rsidRPr="0060756D" w:rsidRDefault="005F2EB2" w:rsidP="005F2EB2">
            <w:pPr>
              <w:pStyle w:val="NoSpacing"/>
              <w:jc w:val="center"/>
              <w:rPr>
                <w:rFonts w:ascii="Arial" w:hAnsi="Arial" w:cs="Arial"/>
              </w:rPr>
            </w:pPr>
            <w:r>
              <w:rPr>
                <w:rFonts w:ascii="Arial" w:hAnsi="Arial" w:cs="Arial"/>
              </w:rPr>
              <w:t>2.05%</w:t>
            </w:r>
          </w:p>
        </w:tc>
        <w:tc>
          <w:tcPr>
            <w:tcW w:w="1488" w:type="dxa"/>
            <w:tcBorders>
              <w:top w:val="single" w:sz="4" w:space="0" w:color="auto"/>
              <w:left w:val="single" w:sz="4" w:space="0" w:color="auto"/>
              <w:bottom w:val="single" w:sz="4" w:space="0" w:color="auto"/>
              <w:right w:val="single" w:sz="4" w:space="0" w:color="auto"/>
            </w:tcBorders>
            <w:shd w:val="clear" w:color="auto" w:fill="FF0000"/>
          </w:tcPr>
          <w:p w14:paraId="4CE9BC4A" w14:textId="79359DCB" w:rsidR="005F2EB2" w:rsidRPr="0060756D" w:rsidRDefault="005F2EB2" w:rsidP="005F2EB2">
            <w:pPr>
              <w:pStyle w:val="NoSpacing"/>
              <w:jc w:val="center"/>
              <w:rPr>
                <w:rFonts w:ascii="Arial" w:hAnsi="Arial" w:cs="Arial"/>
              </w:rPr>
            </w:pPr>
            <w:r w:rsidRPr="0060756D">
              <w:rPr>
                <w:rFonts w:ascii="Arial" w:hAnsi="Arial" w:cs="Arial"/>
              </w:rPr>
              <w:t>2.1%</w:t>
            </w:r>
          </w:p>
        </w:tc>
        <w:tc>
          <w:tcPr>
            <w:tcW w:w="1562" w:type="dxa"/>
            <w:tcBorders>
              <w:top w:val="single" w:sz="4" w:space="0" w:color="auto"/>
              <w:left w:val="single" w:sz="4" w:space="0" w:color="auto"/>
              <w:bottom w:val="single" w:sz="4" w:space="0" w:color="auto"/>
              <w:right w:val="single" w:sz="4" w:space="0" w:color="auto"/>
            </w:tcBorders>
            <w:shd w:val="clear" w:color="auto" w:fill="FF0000"/>
          </w:tcPr>
          <w:p w14:paraId="60E55EA6" w14:textId="75BA2147" w:rsidR="005F2EB2" w:rsidRPr="0060756D" w:rsidRDefault="005F2EB2" w:rsidP="005F2EB2">
            <w:pPr>
              <w:pStyle w:val="NoSpacing"/>
              <w:jc w:val="center"/>
              <w:rPr>
                <w:rFonts w:ascii="Arial" w:hAnsi="Arial" w:cs="Arial"/>
              </w:rPr>
            </w:pPr>
            <w:r w:rsidRPr="00B07068">
              <w:rPr>
                <w:rFonts w:ascii="Arial" w:hAnsi="Arial" w:cs="Arial"/>
              </w:rPr>
              <w:t>2.3%</w:t>
            </w:r>
          </w:p>
        </w:tc>
        <w:tc>
          <w:tcPr>
            <w:tcW w:w="1225" w:type="dxa"/>
            <w:tcBorders>
              <w:top w:val="single" w:sz="4" w:space="0" w:color="auto"/>
              <w:left w:val="single" w:sz="4" w:space="0" w:color="auto"/>
              <w:bottom w:val="single" w:sz="4" w:space="0" w:color="auto"/>
              <w:right w:val="single" w:sz="4" w:space="0" w:color="auto"/>
            </w:tcBorders>
          </w:tcPr>
          <w:p w14:paraId="3DE94CD5" w14:textId="6DF4BC36" w:rsidR="005F2EB2" w:rsidRPr="0060756D" w:rsidRDefault="005F2EB2" w:rsidP="005F2EB2">
            <w:pPr>
              <w:pStyle w:val="NoSpacing"/>
              <w:jc w:val="center"/>
              <w:rPr>
                <w:rFonts w:ascii="Arial" w:hAnsi="Arial" w:cs="Arial"/>
              </w:rPr>
            </w:pPr>
            <w:r w:rsidRPr="0060756D">
              <w:rPr>
                <w:rFonts w:ascii="Arial" w:hAnsi="Arial" w:cs="Arial"/>
              </w:rPr>
              <w:t>3.1%</w:t>
            </w:r>
          </w:p>
        </w:tc>
      </w:tr>
    </w:tbl>
    <w:p w14:paraId="2BF3BD9F" w14:textId="77777777" w:rsidR="0030579F" w:rsidRPr="0060756D" w:rsidRDefault="0030579F" w:rsidP="0030579F">
      <w:pPr>
        <w:pStyle w:val="NoSpacing"/>
        <w:rPr>
          <w:rFonts w:ascii="Arial" w:hAnsi="Arial" w:cs="Arial"/>
          <w:b/>
        </w:rPr>
      </w:pPr>
    </w:p>
    <w:p w14:paraId="4620A52D" w14:textId="21948C21" w:rsidR="007F7C74" w:rsidRPr="007F7C74" w:rsidRDefault="007F7C74" w:rsidP="007F7C74">
      <w:pPr>
        <w:pStyle w:val="NoSpacing"/>
        <w:jc w:val="both"/>
        <w:rPr>
          <w:rFonts w:ascii="Arial" w:eastAsia="Times New Roman" w:hAnsi="Arial" w:cs="Arial"/>
          <w:sz w:val="20"/>
          <w:szCs w:val="20"/>
        </w:rPr>
      </w:pPr>
      <w:r w:rsidRPr="0098576C">
        <w:rPr>
          <w:rFonts w:ascii="Arial" w:hAnsi="Arial" w:cs="Arial"/>
          <w:b/>
          <w:bCs/>
        </w:rPr>
        <w:t xml:space="preserve">Adults with learning </w:t>
      </w:r>
      <w:r w:rsidRPr="007F7C74">
        <w:rPr>
          <w:rFonts w:ascii="Arial" w:hAnsi="Arial" w:cs="Arial"/>
          <w:b/>
          <w:bCs/>
        </w:rPr>
        <w:t>disabilities in employment</w:t>
      </w:r>
      <w:r w:rsidRPr="007F7C74">
        <w:rPr>
          <w:rFonts w:ascii="Arial" w:hAnsi="Arial" w:cs="Arial"/>
        </w:rPr>
        <w:t xml:space="preserve"> – Although the proportion of adults with learning disabilities in employment has risen since 2019/20 and continues within 2020/21, this is still considerably below target and the national benchmark of 5.6%. </w:t>
      </w:r>
      <w:r w:rsidR="00A8108F">
        <w:rPr>
          <w:rFonts w:ascii="Arial" w:hAnsi="Arial" w:cs="Arial"/>
        </w:rPr>
        <w:t>T</w:t>
      </w:r>
      <w:r w:rsidRPr="007F7C74">
        <w:rPr>
          <w:rFonts w:ascii="Arial" w:hAnsi="Arial" w:cs="Arial"/>
        </w:rPr>
        <w:t xml:space="preserve">he pandemic </w:t>
      </w:r>
      <w:r w:rsidR="00A8108F">
        <w:rPr>
          <w:rFonts w:ascii="Arial" w:hAnsi="Arial" w:cs="Arial"/>
        </w:rPr>
        <w:t xml:space="preserve">reduced </w:t>
      </w:r>
      <w:r w:rsidRPr="007F7C74">
        <w:rPr>
          <w:rFonts w:ascii="Arial" w:hAnsi="Arial" w:cs="Arial"/>
        </w:rPr>
        <w:t>some employment prospects impeding the opportunity for people with learning difficulties/disabilities to be introduced to a working environment.  </w:t>
      </w:r>
    </w:p>
    <w:p w14:paraId="6D6D8DD4" w14:textId="158C8E55" w:rsidR="007F7C74" w:rsidRPr="007F7C74" w:rsidRDefault="00A8108F" w:rsidP="007F7C74">
      <w:pPr>
        <w:pStyle w:val="NoSpacing"/>
        <w:jc w:val="both"/>
        <w:rPr>
          <w:rFonts w:ascii="Arial" w:hAnsi="Arial" w:cs="Arial"/>
        </w:rPr>
      </w:pPr>
      <w:r>
        <w:rPr>
          <w:rFonts w:ascii="Arial" w:hAnsi="Arial" w:cs="Arial"/>
        </w:rPr>
        <w:t>The response to</w:t>
      </w:r>
      <w:r w:rsidR="007F7C74" w:rsidRPr="007F7C74">
        <w:rPr>
          <w:rFonts w:ascii="Arial" w:hAnsi="Arial" w:cs="Arial"/>
        </w:rPr>
        <w:t xml:space="preserve"> the pandemic </w:t>
      </w:r>
      <w:r>
        <w:rPr>
          <w:rFonts w:ascii="Arial" w:hAnsi="Arial" w:cs="Arial"/>
        </w:rPr>
        <w:t xml:space="preserve">reorganised priorities internally and </w:t>
      </w:r>
      <w:r w:rsidR="007F7C74" w:rsidRPr="007F7C74">
        <w:rPr>
          <w:rFonts w:ascii="Arial" w:hAnsi="Arial" w:cs="Arial"/>
        </w:rPr>
        <w:t>resulted in some of the staff within the adult disability employment support service being re-deployed into other business critical roles</w:t>
      </w:r>
      <w:r>
        <w:rPr>
          <w:rFonts w:ascii="Arial" w:hAnsi="Arial" w:cs="Arial"/>
        </w:rPr>
        <w:t>.</w:t>
      </w:r>
      <w:r w:rsidR="007F7C74" w:rsidRPr="007F7C74">
        <w:rPr>
          <w:rFonts w:ascii="Arial" w:hAnsi="Arial" w:cs="Arial"/>
        </w:rPr>
        <w:t xml:space="preserve"> </w:t>
      </w:r>
      <w:r w:rsidRPr="007F7C74">
        <w:rPr>
          <w:rFonts w:ascii="Arial" w:hAnsi="Arial" w:cs="Arial"/>
        </w:rPr>
        <w:t>Th</w:t>
      </w:r>
      <w:r>
        <w:rPr>
          <w:rFonts w:ascii="Arial" w:hAnsi="Arial" w:cs="Arial"/>
        </w:rPr>
        <w:t>is</w:t>
      </w:r>
      <w:r w:rsidRPr="007F7C74">
        <w:rPr>
          <w:rFonts w:ascii="Arial" w:hAnsi="Arial" w:cs="Arial"/>
        </w:rPr>
        <w:t xml:space="preserve"> </w:t>
      </w:r>
      <w:r w:rsidR="007F7C74" w:rsidRPr="007F7C74">
        <w:rPr>
          <w:rFonts w:ascii="Arial" w:hAnsi="Arial" w:cs="Arial"/>
        </w:rPr>
        <w:t>resulted in the reduction of some of the support and monitoring</w:t>
      </w:r>
      <w:r>
        <w:rPr>
          <w:rFonts w:ascii="Arial" w:hAnsi="Arial" w:cs="Arial"/>
        </w:rPr>
        <w:t>. A</w:t>
      </w:r>
      <w:r w:rsidR="007F7C74" w:rsidRPr="007F7C74">
        <w:rPr>
          <w:rFonts w:ascii="Arial" w:hAnsi="Arial" w:cs="Arial"/>
        </w:rPr>
        <w:t>dditionally</w:t>
      </w:r>
      <w:r>
        <w:rPr>
          <w:rFonts w:ascii="Arial" w:hAnsi="Arial" w:cs="Arial"/>
        </w:rPr>
        <w:t>,</w:t>
      </w:r>
      <w:r w:rsidR="007F7C74" w:rsidRPr="007F7C74">
        <w:rPr>
          <w:rFonts w:ascii="Arial" w:hAnsi="Arial" w:cs="Arial"/>
        </w:rPr>
        <w:t xml:space="preserve"> referrals for employment support were lower in the 12 months January– December 2020 with 55 referrals received, the previous year there were 233 referrals.   Work has now resumed in this area to review how more adults can be supported into employment, by both the role of the specialist support team and also providers of care and support services. </w:t>
      </w:r>
    </w:p>
    <w:p w14:paraId="30EBB5A1" w14:textId="39A2FABB" w:rsidR="00AC296D" w:rsidRDefault="00AC296D" w:rsidP="00EF3F00">
      <w:pPr>
        <w:rPr>
          <w:lang w:eastAsia="en-GB"/>
        </w:rPr>
      </w:pPr>
    </w:p>
    <w:p w14:paraId="3C799EF7" w14:textId="77777777" w:rsidR="00BE0C2C" w:rsidRDefault="00BE0C2C" w:rsidP="00EF3F00">
      <w:pPr>
        <w:rPr>
          <w:lang w:eastAsia="en-GB"/>
        </w:rPr>
      </w:pPr>
    </w:p>
    <w:p w14:paraId="740518CD" w14:textId="5FAB0F0E" w:rsidR="00AB7002" w:rsidRDefault="00AB7002" w:rsidP="00AB7002">
      <w:pPr>
        <w:pStyle w:val="Heading2"/>
        <w:rPr>
          <w:szCs w:val="32"/>
        </w:rPr>
      </w:pPr>
      <w:r w:rsidRPr="0085231B">
        <w:rPr>
          <w:szCs w:val="32"/>
        </w:rPr>
        <w:lastRenderedPageBreak/>
        <w:t>Lancashire will be the place to prosper</w:t>
      </w:r>
    </w:p>
    <w:p w14:paraId="406D87B8" w14:textId="77777777" w:rsidR="007777CD" w:rsidRPr="007777CD" w:rsidRDefault="007777CD" w:rsidP="007777CD">
      <w:pPr>
        <w:rPr>
          <w:lang w:eastAsia="en-G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559"/>
        <w:gridCol w:w="851"/>
        <w:gridCol w:w="1417"/>
        <w:gridCol w:w="1418"/>
        <w:gridCol w:w="1417"/>
        <w:gridCol w:w="1559"/>
        <w:gridCol w:w="1595"/>
        <w:gridCol w:w="1423"/>
      </w:tblGrid>
      <w:tr w:rsidR="005F2EB2" w:rsidRPr="00FA30B2" w14:paraId="2FB3193F" w14:textId="77777777" w:rsidTr="00823748">
        <w:trPr>
          <w:trHeight w:val="740"/>
        </w:trPr>
        <w:tc>
          <w:tcPr>
            <w:tcW w:w="1701" w:type="dxa"/>
            <w:tcBorders>
              <w:top w:val="single" w:sz="4" w:space="0" w:color="auto"/>
              <w:left w:val="single" w:sz="4" w:space="0" w:color="auto"/>
              <w:bottom w:val="single" w:sz="4" w:space="0" w:color="auto"/>
              <w:right w:val="single" w:sz="4" w:space="0" w:color="auto"/>
            </w:tcBorders>
            <w:hideMark/>
          </w:tcPr>
          <w:p w14:paraId="50B60FA4" w14:textId="08A22CAF" w:rsidR="005F2EB2" w:rsidRPr="006C07CE" w:rsidRDefault="005F2EB2" w:rsidP="005F2EB2">
            <w:pPr>
              <w:pStyle w:val="NoSpacing"/>
              <w:rPr>
                <w:rFonts w:ascii="Arial" w:hAnsi="Arial" w:cs="Arial"/>
                <w:b/>
                <w:highlight w:val="yellow"/>
              </w:rPr>
            </w:pPr>
            <w:r w:rsidRPr="006C07CE">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14:paraId="7382E031" w14:textId="14DB2D47" w:rsidR="005F2EB2" w:rsidRPr="006C07CE" w:rsidRDefault="005F2EB2" w:rsidP="005F2EB2">
            <w:pPr>
              <w:pStyle w:val="NoSpacing"/>
              <w:rPr>
                <w:rFonts w:ascii="Arial" w:hAnsi="Arial" w:cs="Arial"/>
                <w:b/>
                <w:highlight w:val="yellow"/>
              </w:rPr>
            </w:pPr>
            <w:r w:rsidRPr="006C07CE">
              <w:rPr>
                <w:rFonts w:ascii="Arial" w:hAnsi="Arial" w:cs="Arial"/>
                <w:b/>
              </w:rPr>
              <w:t>Frequency</w:t>
            </w:r>
          </w:p>
        </w:tc>
        <w:tc>
          <w:tcPr>
            <w:tcW w:w="1559" w:type="dxa"/>
            <w:tcBorders>
              <w:top w:val="single" w:sz="4" w:space="0" w:color="auto"/>
              <w:left w:val="single" w:sz="4" w:space="0" w:color="auto"/>
              <w:bottom w:val="single" w:sz="4" w:space="0" w:color="auto"/>
              <w:right w:val="single" w:sz="4" w:space="0" w:color="auto"/>
            </w:tcBorders>
          </w:tcPr>
          <w:p w14:paraId="7EDF9AED" w14:textId="2E018AC6" w:rsidR="005F2EB2" w:rsidRPr="006C07CE" w:rsidRDefault="005F2EB2" w:rsidP="005F2EB2">
            <w:pPr>
              <w:pStyle w:val="NoSpacing"/>
              <w:rPr>
                <w:rFonts w:ascii="Arial" w:hAnsi="Arial" w:cs="Arial"/>
                <w:b/>
                <w:highlight w:val="yellow"/>
              </w:rPr>
            </w:pPr>
            <w:r w:rsidRPr="006C07CE">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14:paraId="63478249" w14:textId="7DEB6AD8" w:rsidR="005F2EB2" w:rsidRPr="006C07CE" w:rsidRDefault="005F2EB2" w:rsidP="005F2EB2">
            <w:pPr>
              <w:pStyle w:val="NoSpacing"/>
              <w:rPr>
                <w:rFonts w:ascii="Arial" w:hAnsi="Arial" w:cs="Arial"/>
                <w:b/>
                <w:highlight w:val="yellow"/>
              </w:rPr>
            </w:pPr>
            <w:r w:rsidRPr="006C07CE">
              <w:rPr>
                <w:rFonts w:ascii="Arial" w:hAnsi="Arial" w:cs="Arial"/>
                <w:b/>
              </w:rPr>
              <w:t>Good 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B72F3F" w14:textId="76100ADA" w:rsidR="005F2EB2" w:rsidRPr="006C07CE" w:rsidRDefault="005F2EB2" w:rsidP="005F2EB2">
            <w:pPr>
              <w:pStyle w:val="NoSpacing"/>
              <w:rPr>
                <w:rFonts w:ascii="Arial" w:hAnsi="Arial" w:cs="Arial"/>
                <w:b/>
                <w:highlight w:val="yellow"/>
              </w:rPr>
            </w:pPr>
            <w:r w:rsidRPr="006C07CE">
              <w:rPr>
                <w:rFonts w:ascii="Arial" w:hAnsi="Arial" w:cs="Arial"/>
                <w:b/>
              </w:rPr>
              <w:t>2019/20 Outturn</w:t>
            </w:r>
          </w:p>
        </w:tc>
        <w:tc>
          <w:tcPr>
            <w:tcW w:w="1418" w:type="dxa"/>
            <w:tcBorders>
              <w:top w:val="single" w:sz="4" w:space="0" w:color="auto"/>
              <w:left w:val="single" w:sz="4" w:space="0" w:color="auto"/>
              <w:bottom w:val="single" w:sz="4" w:space="0" w:color="auto"/>
              <w:right w:val="single" w:sz="4" w:space="0" w:color="auto"/>
            </w:tcBorders>
          </w:tcPr>
          <w:p w14:paraId="689C35DD" w14:textId="3FFB4BCD" w:rsidR="005F2EB2" w:rsidRPr="006C07CE" w:rsidRDefault="005F2EB2" w:rsidP="005F2EB2">
            <w:pPr>
              <w:pStyle w:val="NoSpacing"/>
              <w:rPr>
                <w:rFonts w:ascii="Arial" w:hAnsi="Arial" w:cs="Arial"/>
                <w:b/>
                <w:highlight w:val="yellow"/>
              </w:rPr>
            </w:pPr>
            <w:r w:rsidRPr="006C07CE">
              <w:rPr>
                <w:rFonts w:ascii="Arial" w:hAnsi="Arial" w:cs="Arial"/>
                <w:b/>
              </w:rPr>
              <w:t>2020/21 Quarter 1 (April –June)</w:t>
            </w:r>
          </w:p>
        </w:tc>
        <w:tc>
          <w:tcPr>
            <w:tcW w:w="1417" w:type="dxa"/>
            <w:tcBorders>
              <w:top w:val="single" w:sz="4" w:space="0" w:color="auto"/>
              <w:left w:val="single" w:sz="4" w:space="0" w:color="auto"/>
              <w:bottom w:val="single" w:sz="4" w:space="0" w:color="auto"/>
              <w:right w:val="single" w:sz="4" w:space="0" w:color="auto"/>
            </w:tcBorders>
          </w:tcPr>
          <w:p w14:paraId="4BCB3F0B" w14:textId="5EA9EA58" w:rsidR="005F2EB2" w:rsidRPr="006C07CE" w:rsidRDefault="005F2EB2" w:rsidP="005F2EB2">
            <w:pPr>
              <w:pStyle w:val="NoSpacing"/>
              <w:rPr>
                <w:rFonts w:ascii="Arial" w:hAnsi="Arial" w:cs="Arial"/>
                <w:b/>
                <w:highlight w:val="yellow"/>
              </w:rPr>
            </w:pPr>
            <w:r w:rsidRPr="006C07CE">
              <w:rPr>
                <w:rFonts w:ascii="Arial" w:hAnsi="Arial" w:cs="Arial"/>
                <w:b/>
              </w:rPr>
              <w:t>Quarter 2 (July –September)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E6814" w14:textId="674D823D" w:rsidR="005F2EB2" w:rsidRPr="006C07CE" w:rsidRDefault="005F2EB2" w:rsidP="005F2EB2">
            <w:pPr>
              <w:pStyle w:val="NoSpacing"/>
              <w:rPr>
                <w:rFonts w:ascii="Arial" w:hAnsi="Arial" w:cs="Arial"/>
                <w:b/>
                <w:highlight w:val="yellow"/>
              </w:rPr>
            </w:pPr>
            <w:r w:rsidRPr="006C07CE">
              <w:rPr>
                <w:rFonts w:ascii="Arial" w:hAnsi="Arial" w:cs="Arial"/>
                <w:b/>
              </w:rPr>
              <w:t>Quarter 3 (October - December)</w:t>
            </w:r>
          </w:p>
        </w:tc>
        <w:tc>
          <w:tcPr>
            <w:tcW w:w="1595" w:type="dxa"/>
            <w:tcBorders>
              <w:top w:val="single" w:sz="4" w:space="0" w:color="auto"/>
              <w:left w:val="single" w:sz="4" w:space="0" w:color="auto"/>
              <w:bottom w:val="single" w:sz="4" w:space="0" w:color="auto"/>
              <w:right w:val="single" w:sz="4" w:space="0" w:color="auto"/>
            </w:tcBorders>
          </w:tcPr>
          <w:p w14:paraId="70A7A8B5" w14:textId="214E2B76" w:rsidR="005F2EB2" w:rsidRPr="006C07CE" w:rsidRDefault="005F2EB2" w:rsidP="005F2EB2">
            <w:pPr>
              <w:pStyle w:val="NoSpacing"/>
              <w:rPr>
                <w:rFonts w:ascii="Arial" w:hAnsi="Arial" w:cs="Arial"/>
                <w:b/>
              </w:rPr>
            </w:pPr>
            <w:r w:rsidRPr="006C07CE">
              <w:rPr>
                <w:rFonts w:ascii="Arial" w:hAnsi="Arial" w:cs="Arial"/>
                <w:b/>
              </w:rPr>
              <w:t>Quarter 4 (January - March)</w:t>
            </w:r>
          </w:p>
        </w:tc>
        <w:tc>
          <w:tcPr>
            <w:tcW w:w="1423" w:type="dxa"/>
            <w:tcBorders>
              <w:top w:val="single" w:sz="4" w:space="0" w:color="auto"/>
              <w:left w:val="single" w:sz="4" w:space="0" w:color="auto"/>
              <w:bottom w:val="single" w:sz="4" w:space="0" w:color="auto"/>
              <w:right w:val="single" w:sz="4" w:space="0" w:color="auto"/>
            </w:tcBorders>
          </w:tcPr>
          <w:p w14:paraId="282BB45D" w14:textId="01E31496" w:rsidR="005F2EB2" w:rsidRPr="006C07CE" w:rsidRDefault="005F2EB2" w:rsidP="005F2EB2">
            <w:pPr>
              <w:pStyle w:val="NoSpacing"/>
              <w:rPr>
                <w:rFonts w:ascii="Arial" w:hAnsi="Arial" w:cs="Arial"/>
                <w:b/>
                <w:highlight w:val="yellow"/>
              </w:rPr>
            </w:pPr>
            <w:r w:rsidRPr="006C07CE">
              <w:rPr>
                <w:rFonts w:ascii="Arial" w:hAnsi="Arial" w:cs="Arial"/>
                <w:b/>
              </w:rPr>
              <w:t>2020/21 Target</w:t>
            </w:r>
          </w:p>
        </w:tc>
      </w:tr>
      <w:tr w:rsidR="005F2EB2" w:rsidRPr="00250B77" w14:paraId="17143C68" w14:textId="77777777" w:rsidTr="00823748">
        <w:trPr>
          <w:trHeight w:val="1984"/>
        </w:trPr>
        <w:tc>
          <w:tcPr>
            <w:tcW w:w="1701" w:type="dxa"/>
            <w:tcBorders>
              <w:top w:val="single" w:sz="4" w:space="0" w:color="auto"/>
              <w:left w:val="single" w:sz="4" w:space="0" w:color="auto"/>
              <w:bottom w:val="single" w:sz="4" w:space="0" w:color="auto"/>
              <w:right w:val="single" w:sz="4" w:space="0" w:color="auto"/>
            </w:tcBorders>
            <w:hideMark/>
          </w:tcPr>
          <w:p w14:paraId="04DC47FA" w14:textId="77777777" w:rsidR="005F2EB2" w:rsidRPr="00FA30B2" w:rsidRDefault="005F2EB2" w:rsidP="0030579F">
            <w:pPr>
              <w:pStyle w:val="NoSpacing"/>
              <w:rPr>
                <w:rFonts w:ascii="Arial" w:hAnsi="Arial" w:cs="Arial"/>
              </w:rPr>
            </w:pPr>
            <w:r w:rsidRPr="00FA30B2">
              <w:rPr>
                <w:rFonts w:ascii="Arial" w:hAnsi="Arial" w:cs="Arial"/>
              </w:rPr>
              <w:t>Number of Rosebud loans provided to new or existing businesses</w:t>
            </w:r>
          </w:p>
        </w:tc>
        <w:tc>
          <w:tcPr>
            <w:tcW w:w="1418" w:type="dxa"/>
            <w:tcBorders>
              <w:top w:val="single" w:sz="4" w:space="0" w:color="auto"/>
              <w:left w:val="single" w:sz="4" w:space="0" w:color="auto"/>
              <w:bottom w:val="single" w:sz="4" w:space="0" w:color="auto"/>
              <w:right w:val="single" w:sz="4" w:space="0" w:color="auto"/>
            </w:tcBorders>
            <w:hideMark/>
          </w:tcPr>
          <w:p w14:paraId="11C1FD3E" w14:textId="77777777" w:rsidR="005F2EB2" w:rsidRPr="00FA30B2" w:rsidRDefault="005F2EB2" w:rsidP="0030579F">
            <w:pPr>
              <w:pStyle w:val="NoSpacing"/>
              <w:rPr>
                <w:rFonts w:ascii="Arial" w:hAnsi="Arial" w:cs="Arial"/>
              </w:rPr>
            </w:pPr>
            <w:r w:rsidRPr="00FA30B2">
              <w:rPr>
                <w:rFonts w:ascii="Arial" w:hAnsi="Arial" w:cs="Arial"/>
              </w:rPr>
              <w:t>Quarterly</w:t>
            </w:r>
          </w:p>
        </w:tc>
        <w:tc>
          <w:tcPr>
            <w:tcW w:w="1559" w:type="dxa"/>
            <w:tcBorders>
              <w:top w:val="single" w:sz="4" w:space="0" w:color="auto"/>
              <w:left w:val="single" w:sz="4" w:space="0" w:color="auto"/>
              <w:bottom w:val="single" w:sz="4" w:space="0" w:color="auto"/>
              <w:right w:val="single" w:sz="4" w:space="0" w:color="auto"/>
            </w:tcBorders>
          </w:tcPr>
          <w:p w14:paraId="5A1CE892" w14:textId="77777777" w:rsidR="005F2EB2" w:rsidRPr="00FA30B2" w:rsidRDefault="005F2EB2" w:rsidP="0030579F">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51" w:type="dxa"/>
            <w:tcBorders>
              <w:top w:val="single" w:sz="4" w:space="0" w:color="auto"/>
              <w:left w:val="single" w:sz="4" w:space="0" w:color="auto"/>
              <w:bottom w:val="single" w:sz="4" w:space="0" w:color="auto"/>
              <w:right w:val="single" w:sz="4" w:space="0" w:color="auto"/>
            </w:tcBorders>
          </w:tcPr>
          <w:p w14:paraId="221319F5" w14:textId="77777777" w:rsidR="005F2EB2" w:rsidRDefault="005F2EB2" w:rsidP="0030579F">
            <w:pPr>
              <w:pStyle w:val="NoSpacing"/>
              <w:rPr>
                <w:rFonts w:ascii="Arial" w:hAnsi="Arial" w:cs="Arial"/>
              </w:rPr>
            </w:pPr>
          </w:p>
          <w:p w14:paraId="51D79B94" w14:textId="77777777" w:rsidR="005F2EB2" w:rsidRPr="00FA30B2" w:rsidRDefault="005F2EB2" w:rsidP="0030579F">
            <w:pPr>
              <w:pStyle w:val="NoSpacing"/>
              <w:rPr>
                <w:rFonts w:ascii="Arial" w:hAnsi="Arial" w:cs="Arial"/>
              </w:rPr>
            </w:pPr>
            <w:r>
              <w:rPr>
                <w:rFonts w:ascii="Arial" w:hAnsi="Arial" w:cs="Arial"/>
              </w:rPr>
              <w:t>On target</w:t>
            </w:r>
          </w:p>
        </w:tc>
        <w:tc>
          <w:tcPr>
            <w:tcW w:w="1417" w:type="dxa"/>
            <w:tcBorders>
              <w:top w:val="nil"/>
              <w:left w:val="nil"/>
              <w:bottom w:val="single" w:sz="8" w:space="0" w:color="auto"/>
              <w:right w:val="single" w:sz="8" w:space="0" w:color="auto"/>
            </w:tcBorders>
            <w:shd w:val="clear" w:color="auto" w:fill="C5E0B3" w:themeFill="accent6" w:themeFillTint="66"/>
          </w:tcPr>
          <w:p w14:paraId="51E14FF1" w14:textId="736034B2" w:rsidR="005F2EB2" w:rsidRDefault="005F2EB2" w:rsidP="0030579F">
            <w:pPr>
              <w:pStyle w:val="NoSpacing"/>
              <w:jc w:val="center"/>
              <w:rPr>
                <w:rFonts w:ascii="Arial" w:hAnsi="Arial" w:cs="Arial"/>
              </w:rPr>
            </w:pPr>
            <w:r w:rsidRPr="00A96B3C">
              <w:rPr>
                <w:rFonts w:ascii="Arial" w:hAnsi="Arial" w:cs="Arial"/>
              </w:rPr>
              <w:t>£1,581,000</w:t>
            </w:r>
            <w:r>
              <w:rPr>
                <w:rFonts w:ascii="Arial" w:hAnsi="Arial" w:cs="Arial"/>
              </w:rPr>
              <w:t xml:space="preserve"> - </w:t>
            </w:r>
            <w:r w:rsidRPr="00A96B3C">
              <w:rPr>
                <w:rFonts w:ascii="Arial" w:hAnsi="Arial" w:cs="Arial"/>
              </w:rPr>
              <w:t xml:space="preserve">9 </w:t>
            </w:r>
            <w:r w:rsidR="00823748">
              <w:rPr>
                <w:rFonts w:ascii="Arial" w:hAnsi="Arial" w:cs="Arial"/>
                <w:sz w:val="20"/>
                <w:szCs w:val="20"/>
              </w:rPr>
              <w:t>i</w:t>
            </w:r>
            <w:r w:rsidRPr="00823748">
              <w:rPr>
                <w:rFonts w:ascii="Arial" w:hAnsi="Arial" w:cs="Arial"/>
                <w:sz w:val="20"/>
                <w:szCs w:val="20"/>
              </w:rPr>
              <w:t>nvestments</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C4A4EB" w14:textId="77777777" w:rsidR="005F2EB2" w:rsidRPr="00AB4748" w:rsidRDefault="005F2EB2" w:rsidP="0030579F">
            <w:pPr>
              <w:pStyle w:val="NoSpacing"/>
              <w:jc w:val="center"/>
              <w:rPr>
                <w:rFonts w:ascii="Arial" w:hAnsi="Arial" w:cs="Arial"/>
              </w:rPr>
            </w:pPr>
            <w:r>
              <w:rPr>
                <w:rFonts w:ascii="Arial" w:hAnsi="Arial" w:cs="Arial"/>
              </w:rPr>
              <w:t>£310,000- 2 investments</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1F7B971" w14:textId="77777777" w:rsidR="005F2EB2" w:rsidRPr="00AB4748" w:rsidRDefault="005F2EB2" w:rsidP="0030579F">
            <w:pPr>
              <w:pStyle w:val="NoSpacing"/>
              <w:jc w:val="center"/>
              <w:rPr>
                <w:rFonts w:ascii="Arial" w:hAnsi="Arial" w:cs="Arial"/>
              </w:rPr>
            </w:pPr>
            <w:r>
              <w:rPr>
                <w:rFonts w:ascii="Arial" w:hAnsi="Arial" w:cs="Arial"/>
              </w:rPr>
              <w:t>£82,000-1 investment</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2791F75F" w14:textId="77777777" w:rsidR="005F2EB2" w:rsidRPr="00AB4748" w:rsidRDefault="005F2EB2" w:rsidP="0030579F">
            <w:pPr>
              <w:pStyle w:val="NoSpacing"/>
              <w:jc w:val="center"/>
              <w:rPr>
                <w:rFonts w:ascii="Arial" w:hAnsi="Arial" w:cs="Arial"/>
              </w:rPr>
            </w:pPr>
            <w:r>
              <w:rPr>
                <w:rFonts w:ascii="Arial" w:hAnsi="Arial" w:cs="Arial"/>
              </w:rPr>
              <w:t>£300,000- 1 investment</w:t>
            </w:r>
          </w:p>
        </w:tc>
        <w:tc>
          <w:tcPr>
            <w:tcW w:w="1595" w:type="dxa"/>
            <w:tcBorders>
              <w:top w:val="single" w:sz="4" w:space="0" w:color="auto"/>
              <w:left w:val="single" w:sz="4" w:space="0" w:color="auto"/>
              <w:bottom w:val="single" w:sz="4" w:space="0" w:color="auto"/>
              <w:right w:val="single" w:sz="4" w:space="0" w:color="auto"/>
            </w:tcBorders>
            <w:shd w:val="clear" w:color="auto" w:fill="FF0000"/>
          </w:tcPr>
          <w:p w14:paraId="7C9FDB10" w14:textId="702ED2CE" w:rsidR="005F2EB2" w:rsidRPr="001121BB" w:rsidRDefault="001121BB" w:rsidP="001121BB">
            <w:pPr>
              <w:pStyle w:val="NoSpacing"/>
              <w:jc w:val="center"/>
              <w:rPr>
                <w:rFonts w:ascii="Arial" w:hAnsi="Arial" w:cs="Arial"/>
                <w:highlight w:val="red"/>
              </w:rPr>
            </w:pPr>
            <w:r w:rsidRPr="001121BB">
              <w:rPr>
                <w:rFonts w:ascii="Arial" w:hAnsi="Arial" w:cs="Arial"/>
                <w:highlight w:val="red"/>
              </w:rPr>
              <w:t>0</w:t>
            </w:r>
          </w:p>
        </w:tc>
        <w:tc>
          <w:tcPr>
            <w:tcW w:w="1423" w:type="dxa"/>
            <w:tcBorders>
              <w:top w:val="single" w:sz="4" w:space="0" w:color="auto"/>
              <w:left w:val="single" w:sz="4" w:space="0" w:color="auto"/>
              <w:bottom w:val="single" w:sz="4" w:space="0" w:color="auto"/>
              <w:right w:val="single" w:sz="4" w:space="0" w:color="auto"/>
            </w:tcBorders>
          </w:tcPr>
          <w:p w14:paraId="25CBD0C1" w14:textId="41484E61" w:rsidR="005F2EB2" w:rsidRPr="00250B77" w:rsidRDefault="004A2C41" w:rsidP="0030579F">
            <w:pPr>
              <w:pStyle w:val="NoSpacing"/>
              <w:jc w:val="center"/>
              <w:rPr>
                <w:rFonts w:ascii="Arial" w:hAnsi="Arial" w:cs="Arial"/>
              </w:rPr>
            </w:pPr>
            <w:r w:rsidRPr="00AB4748">
              <w:rPr>
                <w:rFonts w:ascii="Arial" w:hAnsi="Arial" w:cs="Arial"/>
              </w:rPr>
              <w:t>5-year</w:t>
            </w:r>
            <w:r w:rsidR="005F2EB2" w:rsidRPr="00AB4748">
              <w:rPr>
                <w:rFonts w:ascii="Arial" w:hAnsi="Arial" w:cs="Arial"/>
              </w:rPr>
              <w:t xml:space="preserve"> target is £11.25m covering 150 investments (July 2019 - June 2024)</w:t>
            </w:r>
          </w:p>
        </w:tc>
      </w:tr>
      <w:tr w:rsidR="005F2EB2" w:rsidRPr="00FA30B2" w14:paraId="19290D13" w14:textId="77777777" w:rsidTr="00823748">
        <w:trPr>
          <w:trHeight w:val="926"/>
        </w:trPr>
        <w:tc>
          <w:tcPr>
            <w:tcW w:w="1701" w:type="dxa"/>
            <w:tcBorders>
              <w:top w:val="single" w:sz="4" w:space="0" w:color="auto"/>
              <w:left w:val="single" w:sz="4" w:space="0" w:color="auto"/>
              <w:bottom w:val="single" w:sz="4" w:space="0" w:color="auto"/>
              <w:right w:val="single" w:sz="4" w:space="0" w:color="auto"/>
            </w:tcBorders>
            <w:hideMark/>
          </w:tcPr>
          <w:p w14:paraId="7E5E0F69" w14:textId="77777777" w:rsidR="005F2EB2" w:rsidRPr="00FA30B2" w:rsidRDefault="005F2EB2" w:rsidP="0030579F">
            <w:pPr>
              <w:pStyle w:val="NoSpacing"/>
              <w:rPr>
                <w:rFonts w:ascii="Arial" w:hAnsi="Arial" w:cs="Arial"/>
              </w:rPr>
            </w:pPr>
            <w:r w:rsidRPr="00FA30B2">
              <w:rPr>
                <w:rFonts w:ascii="Arial" w:hAnsi="Arial" w:cs="Arial"/>
              </w:rPr>
              <w:t>Number of jobs created by B</w:t>
            </w:r>
            <w:r>
              <w:rPr>
                <w:rFonts w:ascii="Arial" w:hAnsi="Arial" w:cs="Arial"/>
              </w:rPr>
              <w:t>oost</w:t>
            </w:r>
          </w:p>
        </w:tc>
        <w:tc>
          <w:tcPr>
            <w:tcW w:w="1418" w:type="dxa"/>
            <w:tcBorders>
              <w:top w:val="single" w:sz="4" w:space="0" w:color="auto"/>
              <w:left w:val="single" w:sz="4" w:space="0" w:color="auto"/>
              <w:bottom w:val="single" w:sz="4" w:space="0" w:color="auto"/>
              <w:right w:val="single" w:sz="4" w:space="0" w:color="auto"/>
            </w:tcBorders>
            <w:hideMark/>
          </w:tcPr>
          <w:p w14:paraId="798220BC" w14:textId="77777777" w:rsidR="005F2EB2" w:rsidRPr="00FA30B2" w:rsidRDefault="005F2EB2" w:rsidP="0030579F">
            <w:pPr>
              <w:pStyle w:val="NoSpacing"/>
              <w:rPr>
                <w:rFonts w:ascii="Arial" w:hAnsi="Arial" w:cs="Arial"/>
                <w:i/>
              </w:rPr>
            </w:pPr>
            <w:r w:rsidRPr="00FA30B2">
              <w:rPr>
                <w:rFonts w:ascii="Arial" w:hAnsi="Arial" w:cs="Arial"/>
              </w:rPr>
              <w:t>Quarterly</w:t>
            </w:r>
          </w:p>
        </w:tc>
        <w:tc>
          <w:tcPr>
            <w:tcW w:w="1559" w:type="dxa"/>
            <w:tcBorders>
              <w:top w:val="single" w:sz="4" w:space="0" w:color="auto"/>
              <w:left w:val="single" w:sz="4" w:space="0" w:color="auto"/>
              <w:bottom w:val="single" w:sz="4" w:space="0" w:color="auto"/>
              <w:right w:val="single" w:sz="4" w:space="0" w:color="auto"/>
            </w:tcBorders>
          </w:tcPr>
          <w:p w14:paraId="102EB43A" w14:textId="77777777" w:rsidR="005F2EB2" w:rsidRPr="00FA30B2" w:rsidRDefault="005F2EB2" w:rsidP="0030579F">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51" w:type="dxa"/>
            <w:tcBorders>
              <w:top w:val="single" w:sz="4" w:space="0" w:color="auto"/>
              <w:left w:val="single" w:sz="4" w:space="0" w:color="auto"/>
              <w:bottom w:val="single" w:sz="4" w:space="0" w:color="auto"/>
              <w:right w:val="single" w:sz="4" w:space="0" w:color="auto"/>
            </w:tcBorders>
          </w:tcPr>
          <w:p w14:paraId="6AC4C625" w14:textId="77777777" w:rsidR="005F2EB2" w:rsidRDefault="005F2EB2" w:rsidP="0030579F">
            <w:pPr>
              <w:pStyle w:val="NoSpacing"/>
              <w:rPr>
                <w:rFonts w:ascii="Arial" w:hAnsi="Arial" w:cs="Arial"/>
              </w:rPr>
            </w:pPr>
          </w:p>
          <w:p w14:paraId="19F278AC" w14:textId="77777777" w:rsidR="005F2EB2" w:rsidRPr="00FA30B2" w:rsidRDefault="005F2EB2" w:rsidP="0030579F">
            <w:pPr>
              <w:pStyle w:val="NoSpacing"/>
              <w:rPr>
                <w:rFonts w:ascii="Arial" w:hAnsi="Arial" w:cs="Arial"/>
              </w:rPr>
            </w:pPr>
            <w:r>
              <w:rPr>
                <w:rFonts w:ascii="Arial" w:hAnsi="Arial" w:cs="Arial"/>
              </w:rPr>
              <w:t>On target</w:t>
            </w:r>
          </w:p>
        </w:tc>
        <w:tc>
          <w:tcPr>
            <w:tcW w:w="1417" w:type="dxa"/>
            <w:tcBorders>
              <w:top w:val="nil"/>
              <w:left w:val="nil"/>
              <w:bottom w:val="single" w:sz="4" w:space="0" w:color="auto"/>
              <w:right w:val="single" w:sz="8" w:space="0" w:color="auto"/>
            </w:tcBorders>
            <w:shd w:val="clear" w:color="auto" w:fill="C5E0B3" w:themeFill="accent6" w:themeFillTint="66"/>
          </w:tcPr>
          <w:p w14:paraId="0730119D" w14:textId="77777777" w:rsidR="005F2EB2" w:rsidRPr="00A96B3C" w:rsidRDefault="005F2EB2" w:rsidP="0030579F">
            <w:pPr>
              <w:pStyle w:val="NoSpacing"/>
              <w:shd w:val="clear" w:color="auto" w:fill="C5E0B3" w:themeFill="accent6" w:themeFillTint="66"/>
              <w:jc w:val="center"/>
              <w:rPr>
                <w:rFonts w:ascii="Arial" w:hAnsi="Arial" w:cs="Arial"/>
              </w:rPr>
            </w:pPr>
            <w:r w:rsidRPr="00A96B3C">
              <w:rPr>
                <w:rFonts w:ascii="Arial" w:hAnsi="Arial" w:cs="Arial"/>
              </w:rPr>
              <w:t>242.22</w:t>
            </w:r>
            <w:r>
              <w:rPr>
                <w:rFonts w:ascii="Arial" w:hAnsi="Arial" w:cs="Arial"/>
              </w:rPr>
              <w:t>-</w:t>
            </w:r>
          </w:p>
          <w:p w14:paraId="5A2058F9" w14:textId="77777777" w:rsidR="005F2EB2" w:rsidRPr="00A96B3C" w:rsidRDefault="005F2EB2" w:rsidP="0030579F">
            <w:pPr>
              <w:pStyle w:val="NoSpacing"/>
              <w:jc w:val="center"/>
              <w:rPr>
                <w:rFonts w:ascii="Arial" w:hAnsi="Arial" w:cs="Arial"/>
              </w:rPr>
            </w:pPr>
            <w:r w:rsidRPr="00A96B3C">
              <w:rPr>
                <w:rFonts w:ascii="Arial" w:hAnsi="Arial" w:cs="Arial"/>
              </w:rPr>
              <w:t>Target 110</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2602375A" w14:textId="77777777" w:rsidR="005F2EB2" w:rsidRPr="001C09B2" w:rsidRDefault="005F2EB2" w:rsidP="0030579F">
            <w:pPr>
              <w:pStyle w:val="NoSpacing"/>
              <w:jc w:val="center"/>
              <w:rPr>
                <w:rFonts w:ascii="Arial" w:hAnsi="Arial" w:cs="Arial"/>
              </w:rPr>
            </w:pPr>
            <w:r w:rsidRPr="001C09B2">
              <w:rPr>
                <w:rFonts w:ascii="Arial" w:hAnsi="Arial" w:cs="Arial"/>
              </w:rPr>
              <w:t>12.33 -</w:t>
            </w:r>
          </w:p>
          <w:p w14:paraId="3E124AF1" w14:textId="77777777" w:rsidR="005F2EB2" w:rsidRPr="001C09B2" w:rsidRDefault="005F2EB2" w:rsidP="0030579F">
            <w:pPr>
              <w:pStyle w:val="NoSpacing"/>
              <w:jc w:val="center"/>
              <w:rPr>
                <w:rFonts w:ascii="Arial" w:hAnsi="Arial" w:cs="Arial"/>
              </w:rPr>
            </w:pPr>
            <w:r w:rsidRPr="001C09B2">
              <w:rPr>
                <w:rFonts w:ascii="Arial" w:hAnsi="Arial" w:cs="Arial"/>
              </w:rPr>
              <w:t>Target 143</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ED1D1D2" w14:textId="77777777" w:rsidR="005F2EB2" w:rsidRDefault="005F2EB2" w:rsidP="0030579F">
            <w:pPr>
              <w:pStyle w:val="NoSpacing"/>
              <w:jc w:val="center"/>
              <w:rPr>
                <w:rFonts w:ascii="Arial" w:hAnsi="Arial" w:cs="Arial"/>
              </w:rPr>
            </w:pPr>
            <w:r>
              <w:rPr>
                <w:rFonts w:ascii="Arial" w:hAnsi="Arial" w:cs="Arial"/>
              </w:rPr>
              <w:t xml:space="preserve">89.11- </w:t>
            </w:r>
          </w:p>
          <w:p w14:paraId="326B5010" w14:textId="77777777" w:rsidR="005F2EB2" w:rsidRPr="00FA30B2" w:rsidRDefault="005F2EB2" w:rsidP="0030579F">
            <w:pPr>
              <w:pStyle w:val="NoSpacing"/>
              <w:jc w:val="center"/>
              <w:rPr>
                <w:rFonts w:ascii="Arial" w:hAnsi="Arial" w:cs="Arial"/>
              </w:rPr>
            </w:pPr>
            <w:r>
              <w:rPr>
                <w:rFonts w:ascii="Arial" w:hAnsi="Arial" w:cs="Arial"/>
              </w:rPr>
              <w:t>Target 110</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59EB496E" w14:textId="77777777" w:rsidR="005F2EB2" w:rsidRPr="00FA30B2" w:rsidRDefault="005F2EB2" w:rsidP="0030579F">
            <w:pPr>
              <w:pStyle w:val="NoSpacing"/>
              <w:jc w:val="center"/>
              <w:rPr>
                <w:rFonts w:ascii="Arial" w:hAnsi="Arial" w:cs="Arial"/>
              </w:rPr>
            </w:pPr>
            <w:r>
              <w:rPr>
                <w:rFonts w:ascii="Arial" w:hAnsi="Arial" w:cs="Arial"/>
              </w:rPr>
              <w:t>80.93- Target 100</w:t>
            </w:r>
          </w:p>
        </w:tc>
        <w:tc>
          <w:tcPr>
            <w:tcW w:w="1595" w:type="dxa"/>
            <w:tcBorders>
              <w:top w:val="single" w:sz="4" w:space="0" w:color="auto"/>
              <w:left w:val="single" w:sz="4" w:space="0" w:color="auto"/>
              <w:bottom w:val="single" w:sz="4" w:space="0" w:color="auto"/>
              <w:right w:val="single" w:sz="4" w:space="0" w:color="auto"/>
            </w:tcBorders>
            <w:shd w:val="clear" w:color="auto" w:fill="FF0000"/>
          </w:tcPr>
          <w:p w14:paraId="0A3C2D50" w14:textId="77777777" w:rsidR="001121BB" w:rsidRDefault="001121BB" w:rsidP="0030579F">
            <w:pPr>
              <w:pStyle w:val="NoSpacing"/>
              <w:jc w:val="center"/>
              <w:rPr>
                <w:rFonts w:ascii="Arial" w:hAnsi="Arial" w:cs="Arial"/>
              </w:rPr>
            </w:pPr>
            <w:r>
              <w:rPr>
                <w:rFonts w:ascii="Arial" w:hAnsi="Arial" w:cs="Arial"/>
              </w:rPr>
              <w:t>42.05 Target</w:t>
            </w:r>
          </w:p>
          <w:p w14:paraId="7AFE7794" w14:textId="63CF30EC" w:rsidR="001121BB" w:rsidRPr="00FA30B2" w:rsidRDefault="001121BB" w:rsidP="0030579F">
            <w:pPr>
              <w:pStyle w:val="NoSpacing"/>
              <w:jc w:val="center"/>
              <w:rPr>
                <w:rFonts w:ascii="Arial" w:hAnsi="Arial" w:cs="Arial"/>
              </w:rPr>
            </w:pPr>
            <w:r>
              <w:rPr>
                <w:rFonts w:ascii="Arial" w:hAnsi="Arial" w:cs="Arial"/>
              </w:rPr>
              <w:t>100</w:t>
            </w:r>
          </w:p>
        </w:tc>
        <w:tc>
          <w:tcPr>
            <w:tcW w:w="1423" w:type="dxa"/>
            <w:tcBorders>
              <w:top w:val="single" w:sz="4" w:space="0" w:color="auto"/>
              <w:left w:val="single" w:sz="4" w:space="0" w:color="auto"/>
              <w:bottom w:val="single" w:sz="4" w:space="0" w:color="auto"/>
              <w:right w:val="single" w:sz="4" w:space="0" w:color="auto"/>
            </w:tcBorders>
          </w:tcPr>
          <w:p w14:paraId="326CF613" w14:textId="1BA3EE6C" w:rsidR="005F2EB2" w:rsidRPr="00FA30B2" w:rsidRDefault="005F2EB2" w:rsidP="0030579F">
            <w:pPr>
              <w:pStyle w:val="NoSpacing"/>
              <w:jc w:val="center"/>
              <w:rPr>
                <w:rFonts w:ascii="Arial" w:hAnsi="Arial" w:cs="Arial"/>
              </w:rPr>
            </w:pPr>
            <w:r w:rsidRPr="00FA30B2">
              <w:rPr>
                <w:rFonts w:ascii="Arial" w:hAnsi="Arial" w:cs="Arial"/>
              </w:rPr>
              <w:t>1</w:t>
            </w:r>
            <w:r>
              <w:rPr>
                <w:rFonts w:ascii="Arial" w:hAnsi="Arial" w:cs="Arial"/>
              </w:rPr>
              <w:t>,</w:t>
            </w:r>
            <w:r w:rsidRPr="00FA30B2">
              <w:rPr>
                <w:rFonts w:ascii="Arial" w:hAnsi="Arial" w:cs="Arial"/>
              </w:rPr>
              <w:t>000 jo</w:t>
            </w:r>
            <w:r>
              <w:rPr>
                <w:rFonts w:ascii="Arial" w:hAnsi="Arial" w:cs="Arial"/>
              </w:rPr>
              <w:t>bs target (Jan 2019 - Dec 2022)</w:t>
            </w:r>
          </w:p>
        </w:tc>
      </w:tr>
      <w:tr w:rsidR="005F2EB2" w:rsidRPr="00FA30B2" w14:paraId="7718F6A8" w14:textId="77777777" w:rsidTr="00823748">
        <w:trPr>
          <w:trHeight w:val="1178"/>
        </w:trPr>
        <w:tc>
          <w:tcPr>
            <w:tcW w:w="1701" w:type="dxa"/>
            <w:tcBorders>
              <w:top w:val="single" w:sz="4" w:space="0" w:color="auto"/>
              <w:left w:val="single" w:sz="4" w:space="0" w:color="auto"/>
              <w:bottom w:val="single" w:sz="4" w:space="0" w:color="auto"/>
              <w:right w:val="single" w:sz="4" w:space="0" w:color="auto"/>
            </w:tcBorders>
            <w:hideMark/>
          </w:tcPr>
          <w:p w14:paraId="56E74108" w14:textId="77777777" w:rsidR="005F2EB2" w:rsidRPr="00FA30B2" w:rsidRDefault="005F2EB2" w:rsidP="0030579F">
            <w:pPr>
              <w:pStyle w:val="NoSpacing"/>
              <w:rPr>
                <w:rFonts w:ascii="Arial" w:hAnsi="Arial" w:cs="Arial"/>
              </w:rPr>
            </w:pPr>
            <w:r w:rsidRPr="00FA30B2">
              <w:rPr>
                <w:rFonts w:ascii="Arial" w:hAnsi="Arial" w:cs="Arial"/>
              </w:rPr>
              <w:t>New businesses established</w:t>
            </w:r>
            <w:r>
              <w:rPr>
                <w:rFonts w:ascii="Arial" w:hAnsi="Arial" w:cs="Arial"/>
              </w:rPr>
              <w:t xml:space="preserve"> by Boost</w:t>
            </w:r>
          </w:p>
        </w:tc>
        <w:tc>
          <w:tcPr>
            <w:tcW w:w="1418" w:type="dxa"/>
            <w:tcBorders>
              <w:top w:val="single" w:sz="4" w:space="0" w:color="auto"/>
              <w:left w:val="single" w:sz="4" w:space="0" w:color="auto"/>
              <w:bottom w:val="single" w:sz="4" w:space="0" w:color="auto"/>
              <w:right w:val="single" w:sz="4" w:space="0" w:color="auto"/>
            </w:tcBorders>
            <w:hideMark/>
          </w:tcPr>
          <w:p w14:paraId="00B6B36A" w14:textId="77777777" w:rsidR="005F2EB2" w:rsidRPr="00FA30B2" w:rsidRDefault="005F2EB2" w:rsidP="0030579F">
            <w:pPr>
              <w:pStyle w:val="NoSpacing"/>
              <w:rPr>
                <w:rFonts w:ascii="Arial" w:hAnsi="Arial" w:cs="Arial"/>
              </w:rPr>
            </w:pPr>
            <w:r w:rsidRPr="00FA30B2">
              <w:rPr>
                <w:rFonts w:ascii="Arial" w:hAnsi="Arial" w:cs="Arial"/>
              </w:rPr>
              <w:t>Quarterly</w:t>
            </w:r>
          </w:p>
        </w:tc>
        <w:tc>
          <w:tcPr>
            <w:tcW w:w="1559" w:type="dxa"/>
            <w:tcBorders>
              <w:top w:val="single" w:sz="4" w:space="0" w:color="auto"/>
              <w:left w:val="single" w:sz="4" w:space="0" w:color="auto"/>
              <w:bottom w:val="single" w:sz="4" w:space="0" w:color="auto"/>
              <w:right w:val="single" w:sz="4" w:space="0" w:color="auto"/>
            </w:tcBorders>
          </w:tcPr>
          <w:p w14:paraId="7C0DA55F" w14:textId="77777777" w:rsidR="005F2EB2" w:rsidRPr="00FA30B2" w:rsidRDefault="005F2EB2" w:rsidP="0030579F">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51" w:type="dxa"/>
            <w:tcBorders>
              <w:top w:val="single" w:sz="4" w:space="0" w:color="auto"/>
              <w:left w:val="single" w:sz="4" w:space="0" w:color="auto"/>
              <w:bottom w:val="single" w:sz="4" w:space="0" w:color="auto"/>
              <w:right w:val="single" w:sz="4" w:space="0" w:color="auto"/>
            </w:tcBorders>
          </w:tcPr>
          <w:p w14:paraId="328E32BD" w14:textId="77777777" w:rsidR="005F2EB2" w:rsidRDefault="005F2EB2" w:rsidP="0030579F">
            <w:pPr>
              <w:pStyle w:val="NoSpacing"/>
              <w:rPr>
                <w:rFonts w:ascii="Arial" w:hAnsi="Arial" w:cs="Arial"/>
              </w:rPr>
            </w:pPr>
          </w:p>
          <w:p w14:paraId="143D3A08" w14:textId="77777777" w:rsidR="005F2EB2" w:rsidRPr="00FA30B2" w:rsidRDefault="005F2EB2" w:rsidP="0030579F">
            <w:pPr>
              <w:pStyle w:val="NoSpacing"/>
              <w:rPr>
                <w:rFonts w:ascii="Arial" w:hAnsi="Arial" w:cs="Arial"/>
              </w:rPr>
            </w:pPr>
            <w:r>
              <w:rPr>
                <w:rFonts w:ascii="Arial" w:hAnsi="Arial" w:cs="Arial"/>
              </w:rPr>
              <w:t>On target</w:t>
            </w:r>
          </w:p>
        </w:tc>
        <w:tc>
          <w:tcPr>
            <w:tcW w:w="1417" w:type="dxa"/>
            <w:tcBorders>
              <w:top w:val="single" w:sz="4" w:space="0" w:color="auto"/>
              <w:left w:val="nil"/>
              <w:bottom w:val="single" w:sz="8" w:space="0" w:color="auto"/>
              <w:right w:val="single" w:sz="8" w:space="0" w:color="auto"/>
            </w:tcBorders>
            <w:shd w:val="clear" w:color="auto" w:fill="C5E0B3" w:themeFill="accent6" w:themeFillTint="66"/>
          </w:tcPr>
          <w:p w14:paraId="0D75BCFC" w14:textId="77777777" w:rsidR="005F2EB2" w:rsidRPr="00A96B3C" w:rsidRDefault="005F2EB2" w:rsidP="0030579F">
            <w:pPr>
              <w:pStyle w:val="NoSpacing"/>
              <w:jc w:val="center"/>
              <w:rPr>
                <w:rFonts w:ascii="Arial" w:hAnsi="Arial" w:cs="Arial"/>
              </w:rPr>
            </w:pPr>
            <w:r w:rsidRPr="00A96B3C">
              <w:rPr>
                <w:rFonts w:ascii="Arial" w:hAnsi="Arial" w:cs="Arial"/>
              </w:rPr>
              <w:t>25</w:t>
            </w:r>
            <w:r>
              <w:rPr>
                <w:rFonts w:ascii="Arial" w:hAnsi="Arial" w:cs="Arial"/>
              </w:rPr>
              <w:t xml:space="preserve"> new businesses-</w:t>
            </w:r>
          </w:p>
          <w:p w14:paraId="78DFB90E" w14:textId="77777777" w:rsidR="005F2EB2" w:rsidRPr="00A96B3C" w:rsidRDefault="005F2EB2" w:rsidP="0030579F">
            <w:pPr>
              <w:pStyle w:val="NoSpacing"/>
              <w:jc w:val="center"/>
              <w:rPr>
                <w:rFonts w:ascii="Arial" w:hAnsi="Arial" w:cs="Arial"/>
              </w:rPr>
            </w:pPr>
            <w:r w:rsidRPr="00A96B3C">
              <w:rPr>
                <w:rFonts w:ascii="Arial" w:hAnsi="Arial" w:cs="Arial"/>
              </w:rPr>
              <w:t>Target 25</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39CB400D" w14:textId="77777777" w:rsidR="005F2EB2" w:rsidRPr="001C09B2" w:rsidRDefault="005F2EB2" w:rsidP="0030579F">
            <w:pPr>
              <w:pStyle w:val="NoSpacing"/>
              <w:jc w:val="center"/>
              <w:rPr>
                <w:rFonts w:ascii="Arial" w:hAnsi="Arial" w:cs="Arial"/>
              </w:rPr>
            </w:pPr>
            <w:r w:rsidRPr="001C09B2">
              <w:rPr>
                <w:rFonts w:ascii="Arial" w:hAnsi="Arial" w:cs="Arial"/>
              </w:rPr>
              <w:t>3 new businesses-</w:t>
            </w:r>
          </w:p>
          <w:p w14:paraId="45651734" w14:textId="77777777" w:rsidR="005F2EB2" w:rsidRPr="001C09B2" w:rsidRDefault="005F2EB2" w:rsidP="0030579F">
            <w:pPr>
              <w:pStyle w:val="NoSpacing"/>
              <w:jc w:val="center"/>
              <w:rPr>
                <w:rFonts w:ascii="Arial" w:hAnsi="Arial" w:cs="Arial"/>
              </w:rPr>
            </w:pPr>
            <w:r w:rsidRPr="001C09B2">
              <w:rPr>
                <w:rFonts w:ascii="Arial" w:hAnsi="Arial" w:cs="Arial"/>
              </w:rPr>
              <w:t>Target 15</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237EF9F" w14:textId="77777777" w:rsidR="005F2EB2" w:rsidRPr="00FA30B2" w:rsidRDefault="005F2EB2" w:rsidP="0030579F">
            <w:pPr>
              <w:pStyle w:val="NoSpacing"/>
              <w:jc w:val="center"/>
              <w:rPr>
                <w:rFonts w:ascii="Arial" w:hAnsi="Arial" w:cs="Arial"/>
              </w:rPr>
            </w:pPr>
            <w:r>
              <w:rPr>
                <w:rFonts w:ascii="Arial" w:hAnsi="Arial" w:cs="Arial"/>
              </w:rPr>
              <w:t>8 new businesses-Target 20</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F07669" w14:textId="77777777" w:rsidR="005F2EB2" w:rsidRPr="00FA30B2" w:rsidRDefault="005F2EB2" w:rsidP="0030579F">
            <w:pPr>
              <w:pStyle w:val="NoSpacing"/>
              <w:jc w:val="center"/>
              <w:rPr>
                <w:rFonts w:ascii="Arial" w:hAnsi="Arial" w:cs="Arial"/>
              </w:rPr>
            </w:pPr>
            <w:r>
              <w:rPr>
                <w:rFonts w:ascii="Arial" w:hAnsi="Arial" w:cs="Arial"/>
              </w:rPr>
              <w:t>26 new businesses- Target 20</w:t>
            </w:r>
          </w:p>
        </w:tc>
        <w:tc>
          <w:tcPr>
            <w:tcW w:w="15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22FCE0" w14:textId="068CB4CA" w:rsidR="005F2EB2" w:rsidRPr="00A27737" w:rsidRDefault="001121BB" w:rsidP="0030579F">
            <w:pPr>
              <w:pStyle w:val="NoSpacing"/>
              <w:jc w:val="center"/>
              <w:rPr>
                <w:rFonts w:ascii="Arial" w:hAnsi="Arial" w:cs="Arial"/>
              </w:rPr>
            </w:pPr>
            <w:r w:rsidRPr="00A27737">
              <w:rPr>
                <w:rFonts w:ascii="Arial" w:hAnsi="Arial" w:cs="Arial"/>
                <w:color w:val="000000"/>
                <w:lang w:eastAsia="en-GB"/>
              </w:rPr>
              <w:t>40 new businesses Target 10</w:t>
            </w:r>
          </w:p>
        </w:tc>
        <w:tc>
          <w:tcPr>
            <w:tcW w:w="1423" w:type="dxa"/>
            <w:tcBorders>
              <w:top w:val="single" w:sz="4" w:space="0" w:color="auto"/>
              <w:left w:val="single" w:sz="4" w:space="0" w:color="auto"/>
              <w:bottom w:val="single" w:sz="4" w:space="0" w:color="auto"/>
              <w:right w:val="single" w:sz="4" w:space="0" w:color="auto"/>
            </w:tcBorders>
          </w:tcPr>
          <w:p w14:paraId="11FB7735" w14:textId="0F3E5A83" w:rsidR="005F2EB2" w:rsidRPr="00FA30B2" w:rsidRDefault="005F2EB2" w:rsidP="0030579F">
            <w:pPr>
              <w:pStyle w:val="NoSpacing"/>
              <w:jc w:val="center"/>
              <w:rPr>
                <w:rFonts w:ascii="Arial" w:hAnsi="Arial" w:cs="Arial"/>
              </w:rPr>
            </w:pPr>
            <w:r w:rsidRPr="00FA30B2">
              <w:rPr>
                <w:rFonts w:ascii="Arial" w:hAnsi="Arial" w:cs="Arial"/>
              </w:rPr>
              <w:t>200 new businesses Jan 2019 - Dec 2022</w:t>
            </w:r>
          </w:p>
        </w:tc>
      </w:tr>
    </w:tbl>
    <w:p w14:paraId="13BB7309" w14:textId="77777777" w:rsidR="0030579F" w:rsidRDefault="0030579F" w:rsidP="0030579F">
      <w:pPr>
        <w:rPr>
          <w:lang w:eastAsia="en-GB"/>
        </w:rPr>
      </w:pPr>
    </w:p>
    <w:p w14:paraId="15093F18" w14:textId="4C3D1BC9" w:rsidR="001121BB" w:rsidRPr="004A2C41" w:rsidRDefault="0030579F" w:rsidP="001121BB">
      <w:pPr>
        <w:rPr>
          <w:rFonts w:eastAsiaTheme="minorHAnsi" w:cs="Arial"/>
          <w:color w:val="auto"/>
          <w:sz w:val="22"/>
          <w:szCs w:val="22"/>
        </w:rPr>
      </w:pPr>
      <w:r w:rsidRPr="004A2C41">
        <w:rPr>
          <w:rFonts w:cs="Arial"/>
          <w:b/>
          <w:bCs/>
          <w:sz w:val="22"/>
          <w:szCs w:val="22"/>
        </w:rPr>
        <w:t>Rosebud</w:t>
      </w:r>
      <w:r w:rsidR="000525C9">
        <w:rPr>
          <w:rFonts w:cs="Arial"/>
          <w:b/>
          <w:bCs/>
          <w:sz w:val="22"/>
          <w:szCs w:val="22"/>
        </w:rPr>
        <w:t xml:space="preserve">.  </w:t>
      </w:r>
      <w:r w:rsidR="00A8108F" w:rsidRPr="00CA35DE">
        <w:rPr>
          <w:rFonts w:cs="Arial"/>
          <w:sz w:val="22"/>
          <w:szCs w:val="22"/>
        </w:rPr>
        <w:t>There were n</w:t>
      </w:r>
      <w:r w:rsidR="001121BB" w:rsidRPr="00A8108F">
        <w:rPr>
          <w:rFonts w:cs="Arial"/>
          <w:sz w:val="22"/>
          <w:szCs w:val="22"/>
        </w:rPr>
        <w:t>o</w:t>
      </w:r>
      <w:r w:rsidR="001121BB" w:rsidRPr="004A2C41">
        <w:rPr>
          <w:rFonts w:cs="Arial"/>
          <w:sz w:val="22"/>
          <w:szCs w:val="22"/>
        </w:rPr>
        <w:t xml:space="preserve"> new investments to report during the quarter</w:t>
      </w:r>
      <w:r w:rsidR="008A725A">
        <w:rPr>
          <w:rFonts w:cs="Arial"/>
          <w:sz w:val="22"/>
          <w:szCs w:val="22"/>
        </w:rPr>
        <w:t xml:space="preserve"> with </w:t>
      </w:r>
      <w:r w:rsidR="001121BB" w:rsidRPr="004A2C41">
        <w:rPr>
          <w:rFonts w:cs="Arial"/>
          <w:sz w:val="22"/>
          <w:szCs w:val="22"/>
        </w:rPr>
        <w:t xml:space="preserve">£692k invested year-to-date versus a pro-rata target of £1.687m. The government backed loan schemes </w:t>
      </w:r>
      <w:r w:rsidR="001121BB" w:rsidRPr="00B712E2">
        <w:rPr>
          <w:rFonts w:cs="Arial"/>
          <w:sz w:val="22"/>
          <w:szCs w:val="22"/>
        </w:rPr>
        <w:t>(</w:t>
      </w:r>
      <w:r w:rsidR="00B712E2" w:rsidRPr="00B712E2">
        <w:rPr>
          <w:sz w:val="22"/>
          <w:szCs w:val="22"/>
        </w:rPr>
        <w:t>Bounce Back Loan Scheme and Coronavirus Business Interruption Loan Scheme</w:t>
      </w:r>
      <w:r w:rsidR="00B712E2">
        <w:rPr>
          <w:rFonts w:cs="Arial"/>
          <w:sz w:val="22"/>
          <w:szCs w:val="22"/>
        </w:rPr>
        <w:t xml:space="preserve">) </w:t>
      </w:r>
      <w:r w:rsidR="001121BB" w:rsidRPr="004A2C41">
        <w:rPr>
          <w:rFonts w:cs="Arial"/>
          <w:sz w:val="22"/>
          <w:szCs w:val="22"/>
        </w:rPr>
        <w:t>both ran until 31 March 2021 with favourable terms and no personal security required which Rosebud was unable to compete with. A healthy pipeline of opportunities is carried into the next quarter and a significant uptick in new investments is forecasted. In light of the Recovery Loan Scheme, a paper is being prepared for LCDL board to assess various options for investment in year 3 of the contract. During this time, the Rosebud team has focused on sustainably managing the c</w:t>
      </w:r>
      <w:r w:rsidR="008A725A">
        <w:rPr>
          <w:rFonts w:cs="Arial"/>
          <w:sz w:val="22"/>
          <w:szCs w:val="22"/>
        </w:rPr>
        <w:t xml:space="preserve">irca </w:t>
      </w:r>
      <w:r w:rsidR="001121BB" w:rsidRPr="004A2C41">
        <w:rPr>
          <w:rFonts w:cs="Arial"/>
          <w:sz w:val="22"/>
          <w:szCs w:val="22"/>
        </w:rPr>
        <w:t>£4m loan book, carefully reducing the number of capital repayment holidays and providing wraparound business support to investees.</w:t>
      </w:r>
    </w:p>
    <w:p w14:paraId="4E6D2FF5" w14:textId="77777777" w:rsidR="000525C9" w:rsidRDefault="000525C9" w:rsidP="0030579F">
      <w:pPr>
        <w:rPr>
          <w:rFonts w:cs="Arial"/>
          <w:b/>
          <w:bCs/>
          <w:sz w:val="22"/>
          <w:szCs w:val="22"/>
        </w:rPr>
      </w:pPr>
    </w:p>
    <w:p w14:paraId="5E2A97AE" w14:textId="779777A0" w:rsidR="001121BB" w:rsidRPr="004A2C41" w:rsidRDefault="0030579F" w:rsidP="0030579F">
      <w:pPr>
        <w:rPr>
          <w:rFonts w:cs="Arial"/>
          <w:sz w:val="22"/>
          <w:szCs w:val="22"/>
          <w:lang w:eastAsia="en-GB"/>
        </w:rPr>
      </w:pPr>
      <w:r w:rsidRPr="004A2C41">
        <w:rPr>
          <w:rFonts w:cs="Arial"/>
          <w:b/>
          <w:bCs/>
          <w:sz w:val="22"/>
          <w:szCs w:val="22"/>
        </w:rPr>
        <w:lastRenderedPageBreak/>
        <w:t>Boost</w:t>
      </w:r>
      <w:r w:rsidRPr="004A2C41">
        <w:rPr>
          <w:rFonts w:cs="Arial"/>
          <w:sz w:val="22"/>
          <w:szCs w:val="22"/>
        </w:rPr>
        <w:t xml:space="preserve"> </w:t>
      </w:r>
      <w:r w:rsidR="001121BB" w:rsidRPr="004A2C41">
        <w:rPr>
          <w:rFonts w:cs="Arial"/>
          <w:b/>
          <w:bCs/>
          <w:sz w:val="22"/>
          <w:szCs w:val="22"/>
        </w:rPr>
        <w:t>ERDF Support</w:t>
      </w:r>
      <w:r w:rsidR="000525C9">
        <w:rPr>
          <w:rFonts w:cs="Arial"/>
          <w:sz w:val="22"/>
          <w:szCs w:val="22"/>
        </w:rPr>
        <w:t xml:space="preserve">. </w:t>
      </w:r>
      <w:r w:rsidR="001121BB" w:rsidRPr="004A2C41">
        <w:rPr>
          <w:rFonts w:cs="Arial"/>
          <w:sz w:val="22"/>
          <w:szCs w:val="22"/>
          <w:lang w:eastAsia="en-GB"/>
        </w:rPr>
        <w:t xml:space="preserve">The Boost </w:t>
      </w:r>
      <w:r w:rsidR="00751EE4" w:rsidRPr="00751EE4">
        <w:rPr>
          <w:rFonts w:cs="Arial"/>
          <w:sz w:val="22"/>
          <w:szCs w:val="22"/>
        </w:rPr>
        <w:t>European Regional Development Fund (</w:t>
      </w:r>
      <w:r w:rsidR="001121BB" w:rsidRPr="00751EE4">
        <w:rPr>
          <w:rFonts w:cs="Arial"/>
          <w:sz w:val="22"/>
          <w:szCs w:val="22"/>
          <w:lang w:eastAsia="en-GB"/>
        </w:rPr>
        <w:t>ERDF</w:t>
      </w:r>
      <w:r w:rsidR="00751EE4" w:rsidRPr="00751EE4">
        <w:rPr>
          <w:rFonts w:cs="Arial"/>
          <w:sz w:val="22"/>
          <w:szCs w:val="22"/>
          <w:lang w:eastAsia="en-GB"/>
        </w:rPr>
        <w:t>)</w:t>
      </w:r>
      <w:r w:rsidR="001121BB" w:rsidRPr="004A2C41">
        <w:rPr>
          <w:rFonts w:cs="Arial"/>
          <w:sz w:val="22"/>
          <w:szCs w:val="22"/>
          <w:lang w:eastAsia="en-GB"/>
        </w:rPr>
        <w:t xml:space="preserve"> core programme is targeted at supporting high growth businesses to achieve their potential.  The decrease in outputs this year can be attributed to businesses responding to </w:t>
      </w:r>
      <w:r w:rsidR="006E1EA7">
        <w:rPr>
          <w:rFonts w:cs="Arial"/>
          <w:sz w:val="22"/>
          <w:szCs w:val="22"/>
          <w:lang w:eastAsia="en-GB"/>
        </w:rPr>
        <w:t>the pandemic</w:t>
      </w:r>
      <w:r w:rsidR="001121BB" w:rsidRPr="004A2C41">
        <w:rPr>
          <w:rFonts w:cs="Arial"/>
          <w:sz w:val="22"/>
          <w:szCs w:val="22"/>
          <w:lang w:eastAsia="en-GB"/>
        </w:rPr>
        <w:t xml:space="preserve">, with their focus moving from growth to survival.  Boost adapted their service offer to support those businesses through enquiry and advisor provision.  </w:t>
      </w:r>
    </w:p>
    <w:p w14:paraId="568DE2FD" w14:textId="2B5CC4E3" w:rsidR="001121BB" w:rsidRPr="004A2C41" w:rsidRDefault="001121BB" w:rsidP="001121BB">
      <w:pPr>
        <w:pStyle w:val="ListParagraph"/>
        <w:numPr>
          <w:ilvl w:val="0"/>
          <w:numId w:val="16"/>
        </w:numPr>
        <w:rPr>
          <w:rFonts w:cs="Arial"/>
          <w:sz w:val="22"/>
          <w:szCs w:val="22"/>
        </w:rPr>
      </w:pPr>
      <w:r w:rsidRPr="004A2C41">
        <w:rPr>
          <w:rFonts w:cs="Arial"/>
          <w:sz w:val="22"/>
          <w:szCs w:val="22"/>
        </w:rPr>
        <w:t xml:space="preserve">Enquiries for the </w:t>
      </w:r>
      <w:r w:rsidR="008A725A">
        <w:rPr>
          <w:rFonts w:cs="Arial"/>
          <w:sz w:val="22"/>
          <w:szCs w:val="22"/>
        </w:rPr>
        <w:t>20</w:t>
      </w:r>
      <w:r w:rsidRPr="004A2C41">
        <w:rPr>
          <w:rFonts w:cs="Arial"/>
          <w:sz w:val="22"/>
          <w:szCs w:val="22"/>
        </w:rPr>
        <w:t xml:space="preserve">20/21 financial year were 2,494 compared with enquiries for </w:t>
      </w:r>
      <w:r w:rsidR="008A725A">
        <w:rPr>
          <w:rFonts w:cs="Arial"/>
          <w:sz w:val="22"/>
          <w:szCs w:val="22"/>
        </w:rPr>
        <w:t>20</w:t>
      </w:r>
      <w:r w:rsidRPr="004A2C41">
        <w:rPr>
          <w:rFonts w:cs="Arial"/>
          <w:sz w:val="22"/>
          <w:szCs w:val="22"/>
        </w:rPr>
        <w:t>19/20 1,883.  An increase of 611 enquiries received by the Boost Team.</w:t>
      </w:r>
    </w:p>
    <w:p w14:paraId="654E0257" w14:textId="594B3A8B" w:rsidR="001121BB" w:rsidRPr="004A2C41" w:rsidRDefault="001121BB" w:rsidP="001121BB">
      <w:pPr>
        <w:pStyle w:val="ListParagraph"/>
        <w:numPr>
          <w:ilvl w:val="0"/>
          <w:numId w:val="16"/>
        </w:numPr>
        <w:rPr>
          <w:rFonts w:cs="Arial"/>
          <w:sz w:val="22"/>
          <w:szCs w:val="22"/>
        </w:rPr>
      </w:pPr>
      <w:r w:rsidRPr="004A2C41">
        <w:rPr>
          <w:rFonts w:cs="Arial"/>
          <w:sz w:val="22"/>
          <w:szCs w:val="22"/>
        </w:rPr>
        <w:t xml:space="preserve">Boots advisors have given over 2,000 hours of business support to over 1,600 businesses needing </w:t>
      </w:r>
      <w:proofErr w:type="spellStart"/>
      <w:r w:rsidR="006E1EA7">
        <w:rPr>
          <w:rFonts w:cs="Arial"/>
          <w:sz w:val="22"/>
          <w:szCs w:val="22"/>
        </w:rPr>
        <w:t>C</w:t>
      </w:r>
      <w:r w:rsidRPr="004A2C41">
        <w:rPr>
          <w:rFonts w:cs="Arial"/>
          <w:sz w:val="22"/>
          <w:szCs w:val="22"/>
        </w:rPr>
        <w:t>ovid</w:t>
      </w:r>
      <w:proofErr w:type="spellEnd"/>
      <w:r w:rsidRPr="004A2C41">
        <w:rPr>
          <w:rFonts w:cs="Arial"/>
          <w:sz w:val="22"/>
          <w:szCs w:val="22"/>
        </w:rPr>
        <w:t xml:space="preserve"> </w:t>
      </w:r>
      <w:r w:rsidR="004A2C41" w:rsidRPr="004A2C41">
        <w:rPr>
          <w:rFonts w:cs="Arial"/>
          <w:sz w:val="22"/>
          <w:szCs w:val="22"/>
        </w:rPr>
        <w:t>advice and guidance.</w:t>
      </w:r>
    </w:p>
    <w:p w14:paraId="5734CCD0" w14:textId="6E95EFE3" w:rsidR="004A2C41" w:rsidRPr="004A2C41" w:rsidRDefault="004A2C41" w:rsidP="004A2C41">
      <w:pPr>
        <w:rPr>
          <w:rFonts w:eastAsiaTheme="minorHAnsi" w:cs="Arial"/>
          <w:color w:val="auto"/>
          <w:sz w:val="22"/>
          <w:szCs w:val="22"/>
        </w:rPr>
      </w:pPr>
      <w:r w:rsidRPr="004A2C41">
        <w:rPr>
          <w:rFonts w:cs="Arial"/>
          <w:sz w:val="22"/>
          <w:szCs w:val="22"/>
        </w:rPr>
        <w:t>For Jan</w:t>
      </w:r>
      <w:r w:rsidR="00A8108F">
        <w:rPr>
          <w:rFonts w:cs="Arial"/>
          <w:sz w:val="22"/>
          <w:szCs w:val="22"/>
        </w:rPr>
        <w:t>uary</w:t>
      </w:r>
      <w:r w:rsidRPr="004A2C41">
        <w:rPr>
          <w:rFonts w:cs="Arial"/>
          <w:sz w:val="22"/>
          <w:szCs w:val="22"/>
        </w:rPr>
        <w:t>-March 2021, some support outputs have recovered to pre-</w:t>
      </w:r>
      <w:r w:rsidR="00196C41">
        <w:rPr>
          <w:rFonts w:cs="Arial"/>
          <w:sz w:val="22"/>
          <w:szCs w:val="22"/>
        </w:rPr>
        <w:t>pandemic</w:t>
      </w:r>
      <w:r w:rsidRPr="004A2C41">
        <w:rPr>
          <w:rFonts w:cs="Arial"/>
          <w:sz w:val="22"/>
          <w:szCs w:val="22"/>
        </w:rPr>
        <w:t xml:space="preserve"> levels however those outputs focusing on business growth such as jobs and loans, are still seeing the effects of the pandemic.  </w:t>
      </w:r>
    </w:p>
    <w:p w14:paraId="33EED997" w14:textId="77777777" w:rsidR="000525C9" w:rsidRDefault="000525C9" w:rsidP="0030579F">
      <w:pPr>
        <w:rPr>
          <w:rFonts w:cs="Arial"/>
          <w:b/>
          <w:bCs/>
          <w:sz w:val="22"/>
          <w:szCs w:val="22"/>
          <w:lang w:eastAsia="en-GB"/>
        </w:rPr>
      </w:pPr>
    </w:p>
    <w:p w14:paraId="7F209CE4" w14:textId="6CFF58D3" w:rsidR="004A2C41" w:rsidRPr="000525C9" w:rsidRDefault="004A2C41" w:rsidP="0030579F">
      <w:pPr>
        <w:rPr>
          <w:rFonts w:eastAsiaTheme="minorHAnsi" w:cs="Arial"/>
          <w:color w:val="auto"/>
          <w:sz w:val="22"/>
          <w:szCs w:val="22"/>
        </w:rPr>
      </w:pPr>
      <w:r w:rsidRPr="004A2C41">
        <w:rPr>
          <w:rFonts w:cs="Arial"/>
          <w:b/>
          <w:bCs/>
          <w:sz w:val="22"/>
          <w:szCs w:val="22"/>
          <w:lang w:eastAsia="en-GB"/>
        </w:rPr>
        <w:t>Boost Recovery Grants</w:t>
      </w:r>
      <w:r w:rsidR="000525C9">
        <w:rPr>
          <w:rFonts w:cs="Arial"/>
          <w:b/>
          <w:bCs/>
          <w:sz w:val="22"/>
          <w:szCs w:val="22"/>
          <w:lang w:eastAsia="en-GB"/>
        </w:rPr>
        <w:t xml:space="preserve">.  </w:t>
      </w:r>
      <w:r w:rsidRPr="004A2C41">
        <w:rPr>
          <w:rFonts w:cs="Arial"/>
          <w:sz w:val="22"/>
          <w:szCs w:val="22"/>
          <w:lang w:eastAsia="en-GB"/>
        </w:rPr>
        <w:t xml:space="preserve">Under the umbrella of the Boost ERDF project the Business Growth and Innovation service set up from scratch and implemented a small capital grants programme to support Lancashire SMEs in their response to the impact of </w:t>
      </w:r>
      <w:r w:rsidR="006E1EA7">
        <w:rPr>
          <w:rFonts w:cs="Arial"/>
          <w:sz w:val="22"/>
          <w:szCs w:val="22"/>
          <w:lang w:eastAsia="en-GB"/>
        </w:rPr>
        <w:t>the pandemic</w:t>
      </w:r>
      <w:r w:rsidRPr="004A2C41">
        <w:rPr>
          <w:rFonts w:cs="Arial"/>
          <w:sz w:val="22"/>
          <w:szCs w:val="22"/>
          <w:lang w:eastAsia="en-GB"/>
        </w:rPr>
        <w:t>. This involved the review of over 1,000 Expressions of Interest and the issuing of 500+ Application Forms to eligible businesses in the county council, Blackburn</w:t>
      </w:r>
      <w:r w:rsidR="004B0BE0">
        <w:rPr>
          <w:rFonts w:cs="Arial"/>
          <w:sz w:val="22"/>
          <w:szCs w:val="22"/>
          <w:lang w:eastAsia="en-GB"/>
        </w:rPr>
        <w:t xml:space="preserve"> with Darwen</w:t>
      </w:r>
      <w:r w:rsidRPr="004A2C41">
        <w:rPr>
          <w:rFonts w:cs="Arial"/>
          <w:sz w:val="22"/>
          <w:szCs w:val="22"/>
          <w:lang w:eastAsia="en-GB"/>
        </w:rPr>
        <w:t>, and Blackpool areas. This was in addition to the planned work priorities of the service.</w:t>
      </w:r>
    </w:p>
    <w:p w14:paraId="1053A840" w14:textId="10AE58B0" w:rsidR="001121BB" w:rsidRDefault="004A2C41" w:rsidP="0030579F">
      <w:pPr>
        <w:rPr>
          <w:rFonts w:cs="Arial"/>
          <w:sz w:val="22"/>
          <w:szCs w:val="22"/>
          <w:lang w:eastAsia="en-GB"/>
        </w:rPr>
      </w:pPr>
      <w:r w:rsidRPr="004A2C41">
        <w:rPr>
          <w:rFonts w:cs="Arial"/>
          <w:sz w:val="22"/>
          <w:szCs w:val="22"/>
          <w:lang w:eastAsia="en-GB"/>
        </w:rPr>
        <w:t xml:space="preserve">The Expression of Interest was released in August 2020 with full applications being distributed from September. The majority of the grant defrayal was due to be completed before the end of March 2021 with many staff across the team working hard to distribute the money to grateful businesses.  </w:t>
      </w:r>
      <w:r w:rsidRPr="00FC1D04">
        <w:rPr>
          <w:rFonts w:cs="Arial"/>
          <w:sz w:val="22"/>
          <w:szCs w:val="22"/>
          <w:lang w:eastAsia="en-GB"/>
        </w:rPr>
        <w:t>To the end of March 2021, we have defrayed £1,034</w:t>
      </w:r>
      <w:r w:rsidR="00FE4D5F" w:rsidRPr="00FC1D04">
        <w:rPr>
          <w:rFonts w:cs="Arial"/>
          <w:sz w:val="22"/>
          <w:szCs w:val="22"/>
          <w:lang w:eastAsia="en-GB"/>
        </w:rPr>
        <w:t>,</w:t>
      </w:r>
      <w:r w:rsidRPr="00FC1D04">
        <w:rPr>
          <w:rFonts w:cs="Arial"/>
          <w:sz w:val="22"/>
          <w:szCs w:val="22"/>
          <w:lang w:eastAsia="en-GB"/>
        </w:rPr>
        <w:t>698 to 327 business and are projected to defray around £1.1m in total</w:t>
      </w:r>
      <w:r w:rsidR="00FC1D04">
        <w:rPr>
          <w:rFonts w:cs="Arial"/>
          <w:sz w:val="22"/>
          <w:szCs w:val="22"/>
          <w:lang w:eastAsia="en-GB"/>
        </w:rPr>
        <w:t>.</w:t>
      </w:r>
    </w:p>
    <w:p w14:paraId="0670469C" w14:textId="640BE0F0" w:rsidR="000C1365" w:rsidRPr="00A766E4" w:rsidRDefault="000C1365" w:rsidP="00874B19">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329"/>
        <w:gridCol w:w="3960"/>
        <w:gridCol w:w="6237"/>
      </w:tblGrid>
      <w:tr w:rsidR="001C6468" w:rsidRPr="00F044C2" w14:paraId="3367915B" w14:textId="77777777" w:rsidTr="007F71AA">
        <w:trPr>
          <w:trHeight w:val="623"/>
        </w:trPr>
        <w:tc>
          <w:tcPr>
            <w:tcW w:w="2508" w:type="dxa"/>
            <w:tcBorders>
              <w:top w:val="single" w:sz="4" w:space="0" w:color="auto"/>
              <w:left w:val="single" w:sz="4" w:space="0" w:color="auto"/>
              <w:bottom w:val="single" w:sz="4" w:space="0" w:color="auto"/>
              <w:right w:val="single" w:sz="4" w:space="0" w:color="auto"/>
            </w:tcBorders>
          </w:tcPr>
          <w:p w14:paraId="7B35587A" w14:textId="77777777" w:rsidR="001C6468" w:rsidRPr="00A13FE9" w:rsidRDefault="001C6468" w:rsidP="001C6468">
            <w:pPr>
              <w:pStyle w:val="NoSpacing"/>
              <w:rPr>
                <w:rFonts w:ascii="Arial" w:hAnsi="Arial" w:cs="Arial"/>
                <w:b/>
              </w:rPr>
            </w:pPr>
            <w:r w:rsidRPr="00A13FE9">
              <w:rPr>
                <w:rFonts w:ascii="Arial" w:hAnsi="Arial" w:cs="Arial"/>
                <w:b/>
              </w:rPr>
              <w:t>Performance Indicator</w:t>
            </w:r>
          </w:p>
        </w:tc>
        <w:tc>
          <w:tcPr>
            <w:tcW w:w="1329" w:type="dxa"/>
            <w:tcBorders>
              <w:top w:val="single" w:sz="4" w:space="0" w:color="auto"/>
              <w:left w:val="single" w:sz="4" w:space="0" w:color="auto"/>
              <w:bottom w:val="single" w:sz="4" w:space="0" w:color="auto"/>
              <w:right w:val="single" w:sz="4" w:space="0" w:color="auto"/>
            </w:tcBorders>
          </w:tcPr>
          <w:p w14:paraId="48903475" w14:textId="77777777" w:rsidR="001C6468" w:rsidRPr="00A13FE9" w:rsidRDefault="001C6468" w:rsidP="001C6468">
            <w:pPr>
              <w:pStyle w:val="NoSpacing"/>
              <w:rPr>
                <w:rFonts w:ascii="Arial" w:hAnsi="Arial" w:cs="Arial"/>
                <w:b/>
              </w:rPr>
            </w:pPr>
            <w:r w:rsidRPr="00A13FE9">
              <w:rPr>
                <w:rFonts w:ascii="Arial" w:hAnsi="Arial" w:cs="Arial"/>
                <w:b/>
              </w:rPr>
              <w:t>Frequency</w:t>
            </w:r>
          </w:p>
        </w:tc>
        <w:tc>
          <w:tcPr>
            <w:tcW w:w="3960" w:type="dxa"/>
            <w:tcBorders>
              <w:top w:val="single" w:sz="4" w:space="0" w:color="auto"/>
              <w:left w:val="single" w:sz="4" w:space="0" w:color="auto"/>
              <w:bottom w:val="single" w:sz="4" w:space="0" w:color="auto"/>
              <w:right w:val="single" w:sz="4" w:space="0" w:color="auto"/>
            </w:tcBorders>
          </w:tcPr>
          <w:p w14:paraId="5F395B52" w14:textId="77777777" w:rsidR="001C6468" w:rsidRPr="00A13FE9" w:rsidRDefault="001C6468" w:rsidP="001C6468">
            <w:pPr>
              <w:pStyle w:val="NoSpacing"/>
              <w:rPr>
                <w:rFonts w:ascii="Arial" w:hAnsi="Arial" w:cs="Arial"/>
                <w:b/>
              </w:rPr>
            </w:pPr>
            <w:r w:rsidRPr="00A13FE9">
              <w:rPr>
                <w:rFonts w:ascii="Arial" w:hAnsi="Arial" w:cs="Arial"/>
                <w:b/>
              </w:rPr>
              <w:t xml:space="preserve">Directorate </w:t>
            </w:r>
          </w:p>
        </w:tc>
        <w:tc>
          <w:tcPr>
            <w:tcW w:w="6237" w:type="dxa"/>
            <w:tcBorders>
              <w:top w:val="single" w:sz="4" w:space="0" w:color="auto"/>
              <w:left w:val="single" w:sz="4" w:space="0" w:color="auto"/>
              <w:bottom w:val="single" w:sz="4" w:space="0" w:color="auto"/>
              <w:right w:val="single" w:sz="4" w:space="0" w:color="auto"/>
            </w:tcBorders>
          </w:tcPr>
          <w:p w14:paraId="36714B6E" w14:textId="77777777" w:rsidR="001C6468" w:rsidRPr="00A13FE9" w:rsidRDefault="001C6468" w:rsidP="001C6468">
            <w:pPr>
              <w:pStyle w:val="NoSpacing"/>
              <w:spacing w:line="252" w:lineRule="auto"/>
              <w:rPr>
                <w:rFonts w:ascii="Arial" w:eastAsiaTheme="minorHAnsi" w:hAnsi="Arial" w:cs="Arial"/>
                <w:b/>
                <w:bCs/>
              </w:rPr>
            </w:pPr>
            <w:r w:rsidRPr="00A13FE9">
              <w:rPr>
                <w:rFonts w:ascii="Arial" w:hAnsi="Arial" w:cs="Arial"/>
                <w:b/>
                <w:bCs/>
              </w:rPr>
              <w:t>Current Performance</w:t>
            </w:r>
          </w:p>
        </w:tc>
      </w:tr>
      <w:tr w:rsidR="00AB7002" w:rsidRPr="00FA30B2" w14:paraId="337D3D2B" w14:textId="77777777" w:rsidTr="007F71AA">
        <w:trPr>
          <w:trHeight w:val="684"/>
        </w:trPr>
        <w:tc>
          <w:tcPr>
            <w:tcW w:w="2508" w:type="dxa"/>
            <w:tcBorders>
              <w:top w:val="single" w:sz="4" w:space="0" w:color="auto"/>
              <w:left w:val="single" w:sz="4" w:space="0" w:color="auto"/>
              <w:bottom w:val="single" w:sz="4" w:space="0" w:color="auto"/>
              <w:right w:val="single" w:sz="4" w:space="0" w:color="auto"/>
            </w:tcBorders>
            <w:hideMark/>
          </w:tcPr>
          <w:p w14:paraId="27401418" w14:textId="77777777" w:rsidR="00AB7002" w:rsidRPr="00A13FE9" w:rsidRDefault="00AB7002" w:rsidP="00AB7002">
            <w:pPr>
              <w:pStyle w:val="NoSpacing"/>
              <w:rPr>
                <w:rFonts w:ascii="Arial" w:hAnsi="Arial" w:cs="Arial"/>
              </w:rPr>
            </w:pPr>
            <w:r w:rsidRPr="00A13FE9">
              <w:rPr>
                <w:rFonts w:ascii="Arial" w:hAnsi="Arial" w:cs="Arial"/>
              </w:rPr>
              <w:t xml:space="preserve">Sustainable transport and travel </w:t>
            </w:r>
          </w:p>
        </w:tc>
        <w:tc>
          <w:tcPr>
            <w:tcW w:w="1329" w:type="dxa"/>
            <w:tcBorders>
              <w:top w:val="single" w:sz="4" w:space="0" w:color="auto"/>
              <w:left w:val="single" w:sz="4" w:space="0" w:color="auto"/>
              <w:bottom w:val="single" w:sz="4" w:space="0" w:color="auto"/>
              <w:right w:val="single" w:sz="4" w:space="0" w:color="auto"/>
            </w:tcBorders>
            <w:hideMark/>
          </w:tcPr>
          <w:p w14:paraId="604FB3DC" w14:textId="77777777" w:rsidR="00AB7002" w:rsidRPr="00A13FE9" w:rsidRDefault="00AB7002" w:rsidP="00AB7002">
            <w:pPr>
              <w:pStyle w:val="NoSpacing"/>
              <w:rPr>
                <w:rFonts w:ascii="Arial" w:hAnsi="Arial" w:cs="Arial"/>
              </w:rPr>
            </w:pPr>
            <w:r w:rsidRPr="00A13FE9">
              <w:rPr>
                <w:rFonts w:ascii="Arial" w:hAnsi="Arial" w:cs="Arial"/>
              </w:rPr>
              <w:t>Annual</w:t>
            </w:r>
          </w:p>
        </w:tc>
        <w:tc>
          <w:tcPr>
            <w:tcW w:w="3960" w:type="dxa"/>
            <w:tcBorders>
              <w:top w:val="single" w:sz="4" w:space="0" w:color="auto"/>
              <w:left w:val="single" w:sz="4" w:space="0" w:color="auto"/>
              <w:bottom w:val="single" w:sz="4" w:space="0" w:color="auto"/>
              <w:right w:val="single" w:sz="4" w:space="0" w:color="auto"/>
            </w:tcBorders>
          </w:tcPr>
          <w:p w14:paraId="6CB3E246" w14:textId="77777777" w:rsidR="00AB7002" w:rsidRPr="00A13FE9" w:rsidRDefault="00AB7002" w:rsidP="00AB7002">
            <w:pPr>
              <w:pStyle w:val="NoSpacing"/>
              <w:rPr>
                <w:rFonts w:ascii="Arial" w:hAnsi="Arial" w:cs="Arial"/>
              </w:rPr>
            </w:pPr>
            <w:r w:rsidRPr="00A13FE9">
              <w:rPr>
                <w:rFonts w:ascii="Arial" w:hAnsi="Arial" w:cs="Arial"/>
              </w:rPr>
              <w:t>Growth, Environment &amp; Transport</w:t>
            </w:r>
          </w:p>
        </w:tc>
        <w:tc>
          <w:tcPr>
            <w:tcW w:w="6237" w:type="dxa"/>
            <w:tcBorders>
              <w:top w:val="single" w:sz="4" w:space="0" w:color="auto"/>
              <w:left w:val="single" w:sz="4" w:space="0" w:color="auto"/>
              <w:bottom w:val="single" w:sz="4" w:space="0" w:color="auto"/>
              <w:right w:val="single" w:sz="4" w:space="0" w:color="auto"/>
            </w:tcBorders>
          </w:tcPr>
          <w:p w14:paraId="4BFC9216" w14:textId="77777777" w:rsidR="00AB7002" w:rsidRPr="00A13FE9" w:rsidRDefault="00AB7002" w:rsidP="00AB7002">
            <w:pPr>
              <w:pStyle w:val="NoSpacing"/>
              <w:rPr>
                <w:rFonts w:ascii="Arial" w:hAnsi="Arial" w:cs="Arial"/>
              </w:rPr>
            </w:pPr>
            <w:r w:rsidRPr="00A13FE9">
              <w:rPr>
                <w:rFonts w:ascii="Arial" w:hAnsi="Arial" w:cs="Arial"/>
              </w:rPr>
              <w:t>Annual Report – schedule to be confirmed</w:t>
            </w:r>
          </w:p>
        </w:tc>
      </w:tr>
    </w:tbl>
    <w:p w14:paraId="03CEABA7" w14:textId="0B8D0666" w:rsidR="00A27737" w:rsidRDefault="00A27737" w:rsidP="005B4AFF">
      <w:pPr>
        <w:pStyle w:val="Heading2"/>
        <w:rPr>
          <w:szCs w:val="32"/>
        </w:rPr>
      </w:pPr>
    </w:p>
    <w:p w14:paraId="3C3B1BD8" w14:textId="42A80E6D" w:rsidR="00FC1D04" w:rsidRDefault="00FC1D04" w:rsidP="00FC1D04">
      <w:pPr>
        <w:rPr>
          <w:lang w:eastAsia="en-GB"/>
        </w:rPr>
      </w:pPr>
    </w:p>
    <w:p w14:paraId="443E4716" w14:textId="243E9BC3" w:rsidR="00FC1D04" w:rsidRDefault="00FC1D04" w:rsidP="00FC1D04">
      <w:pPr>
        <w:rPr>
          <w:lang w:eastAsia="en-GB"/>
        </w:rPr>
      </w:pPr>
    </w:p>
    <w:p w14:paraId="10EA511F" w14:textId="77777777" w:rsidR="00583C3F" w:rsidRPr="00FC1D04" w:rsidRDefault="00583C3F" w:rsidP="00FC1D04">
      <w:pPr>
        <w:rPr>
          <w:lang w:eastAsia="en-GB"/>
        </w:rPr>
      </w:pPr>
    </w:p>
    <w:p w14:paraId="354FFCA7" w14:textId="741C7C04" w:rsidR="005B4AFF" w:rsidRDefault="005B4AFF" w:rsidP="005B4AFF">
      <w:pPr>
        <w:pStyle w:val="Heading2"/>
        <w:rPr>
          <w:szCs w:val="32"/>
        </w:rPr>
      </w:pPr>
      <w:r w:rsidRPr="0085231B">
        <w:rPr>
          <w:szCs w:val="32"/>
        </w:rPr>
        <w:lastRenderedPageBreak/>
        <w:t>Lancashire will be the place to visit</w:t>
      </w:r>
    </w:p>
    <w:p w14:paraId="589C56DA" w14:textId="77777777" w:rsidR="00943BB6" w:rsidRPr="00943BB6" w:rsidRDefault="00943BB6" w:rsidP="00943BB6">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1C6468" w:rsidRPr="00A13FE9" w14:paraId="58759DB9" w14:textId="77777777" w:rsidTr="007F71AA">
        <w:tc>
          <w:tcPr>
            <w:tcW w:w="4536" w:type="dxa"/>
            <w:tcBorders>
              <w:top w:val="single" w:sz="4" w:space="0" w:color="auto"/>
              <w:left w:val="single" w:sz="4" w:space="0" w:color="auto"/>
              <w:bottom w:val="single" w:sz="4" w:space="0" w:color="auto"/>
              <w:right w:val="single" w:sz="4" w:space="0" w:color="auto"/>
            </w:tcBorders>
            <w:hideMark/>
          </w:tcPr>
          <w:p w14:paraId="00BCCE47" w14:textId="77777777" w:rsidR="001C6468" w:rsidRPr="00A13FE9" w:rsidRDefault="001C6468" w:rsidP="00AB7002">
            <w:pPr>
              <w:pStyle w:val="NoSpacing"/>
              <w:rPr>
                <w:rFonts w:ascii="Arial" w:hAnsi="Arial" w:cs="Arial"/>
                <w:b/>
              </w:rPr>
            </w:pPr>
            <w:r w:rsidRPr="00A13FE9">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14:paraId="66422E8A" w14:textId="77777777" w:rsidR="001C6468" w:rsidRPr="00A13FE9" w:rsidRDefault="001C6468" w:rsidP="00AB7002">
            <w:pPr>
              <w:pStyle w:val="NoSpacing"/>
              <w:rPr>
                <w:rFonts w:ascii="Arial" w:hAnsi="Arial" w:cs="Arial"/>
                <w:b/>
              </w:rPr>
            </w:pPr>
            <w:r w:rsidRPr="00A13FE9">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14:paraId="14005F8B" w14:textId="77777777" w:rsidR="001C6468" w:rsidRPr="00A13FE9" w:rsidRDefault="001C6468" w:rsidP="00AB7002">
            <w:pPr>
              <w:pStyle w:val="NoSpacing"/>
              <w:rPr>
                <w:rFonts w:ascii="Arial" w:hAnsi="Arial" w:cs="Arial"/>
                <w:b/>
              </w:rPr>
            </w:pPr>
            <w:r w:rsidRPr="00A13FE9">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14:paraId="6D5E1CA7" w14:textId="77777777" w:rsidR="001C6468" w:rsidRPr="00A13FE9" w:rsidRDefault="001C6468" w:rsidP="001C6468">
            <w:pPr>
              <w:pStyle w:val="NoSpacing"/>
              <w:spacing w:line="252" w:lineRule="auto"/>
              <w:rPr>
                <w:rFonts w:ascii="Arial" w:eastAsiaTheme="minorHAnsi" w:hAnsi="Arial" w:cs="Arial"/>
                <w:b/>
                <w:bCs/>
              </w:rPr>
            </w:pPr>
            <w:r w:rsidRPr="00A13FE9">
              <w:rPr>
                <w:rFonts w:ascii="Arial" w:hAnsi="Arial" w:cs="Arial"/>
                <w:b/>
                <w:bCs/>
              </w:rPr>
              <w:t>Current Performance</w:t>
            </w:r>
          </w:p>
          <w:p w14:paraId="4E7E259C" w14:textId="77777777" w:rsidR="001C6468" w:rsidRPr="00A13FE9" w:rsidRDefault="001C6468" w:rsidP="001C6468">
            <w:pPr>
              <w:pStyle w:val="NoSpacing"/>
              <w:spacing w:line="252" w:lineRule="auto"/>
              <w:rPr>
                <w:rFonts w:ascii="Arial" w:eastAsiaTheme="minorHAnsi" w:hAnsi="Arial" w:cs="Arial"/>
                <w:b/>
                <w:bCs/>
              </w:rPr>
            </w:pPr>
          </w:p>
        </w:tc>
      </w:tr>
      <w:tr w:rsidR="005B4AFF" w:rsidRPr="00A13FE9" w14:paraId="78C9DA7E" w14:textId="77777777" w:rsidTr="007F71AA">
        <w:tc>
          <w:tcPr>
            <w:tcW w:w="4536" w:type="dxa"/>
            <w:tcBorders>
              <w:top w:val="single" w:sz="4" w:space="0" w:color="auto"/>
              <w:left w:val="single" w:sz="4" w:space="0" w:color="auto"/>
              <w:bottom w:val="single" w:sz="4" w:space="0" w:color="auto"/>
              <w:right w:val="single" w:sz="4" w:space="0" w:color="auto"/>
            </w:tcBorders>
            <w:hideMark/>
          </w:tcPr>
          <w:p w14:paraId="3330AA0F" w14:textId="77777777" w:rsidR="005B4AFF" w:rsidRPr="00A13FE9" w:rsidRDefault="005B4AFF" w:rsidP="00AB7002">
            <w:pPr>
              <w:pStyle w:val="NoSpacing"/>
              <w:rPr>
                <w:rFonts w:ascii="Arial" w:hAnsi="Arial" w:cs="Arial"/>
              </w:rPr>
            </w:pPr>
            <w:r w:rsidRPr="00A13FE9">
              <w:rPr>
                <w:rFonts w:ascii="Arial" w:hAnsi="Arial" w:cs="Arial"/>
              </w:rPr>
              <w:t>Number of 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6CF8D1D8" w14:textId="77777777" w:rsidR="005B4AFF" w:rsidRPr="00A13FE9" w:rsidRDefault="005B4AFF"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209747DA" w14:textId="77777777" w:rsidR="005B4AFF" w:rsidRPr="00A13FE9" w:rsidRDefault="005B4AFF" w:rsidP="00AB7002">
            <w:pPr>
              <w:pStyle w:val="NoSpacing"/>
              <w:rPr>
                <w:rFonts w:ascii="Arial" w:hAnsi="Arial" w:cs="Arial"/>
                <w:color w:val="FF0000"/>
              </w:rPr>
            </w:pPr>
            <w:r w:rsidRPr="00A13FE9">
              <w:rPr>
                <w:rFonts w:ascii="Arial" w:hAnsi="Arial" w:cs="Arial"/>
              </w:rPr>
              <w:t>Growth, Environment and Transport</w:t>
            </w:r>
          </w:p>
        </w:tc>
        <w:tc>
          <w:tcPr>
            <w:tcW w:w="6237" w:type="dxa"/>
            <w:vMerge w:val="restart"/>
            <w:tcBorders>
              <w:top w:val="single" w:sz="8" w:space="0" w:color="auto"/>
              <w:left w:val="nil"/>
              <w:right w:val="single" w:sz="4" w:space="0" w:color="auto"/>
            </w:tcBorders>
          </w:tcPr>
          <w:p w14:paraId="66AC3DC0" w14:textId="77777777" w:rsidR="005B4AFF" w:rsidRPr="00A13FE9" w:rsidRDefault="005B4AFF" w:rsidP="00AB7002">
            <w:pPr>
              <w:pStyle w:val="NoSpacing"/>
              <w:rPr>
                <w:rFonts w:ascii="Arial" w:hAnsi="Arial" w:cs="Arial"/>
              </w:rPr>
            </w:pPr>
            <w:r w:rsidRPr="00A13FE9">
              <w:rPr>
                <w:rFonts w:ascii="Arial" w:hAnsi="Arial" w:cs="Arial"/>
              </w:rPr>
              <w:t>Targets being reviewed as part of a new tourism growth strategy. Annual Report – scheduled to be confirmed.</w:t>
            </w:r>
          </w:p>
        </w:tc>
      </w:tr>
      <w:tr w:rsidR="005B4AFF" w:rsidRPr="00A13FE9" w14:paraId="1626BD89" w14:textId="77777777" w:rsidTr="00EC2CD4">
        <w:tc>
          <w:tcPr>
            <w:tcW w:w="4536" w:type="dxa"/>
            <w:tcBorders>
              <w:top w:val="single" w:sz="4" w:space="0" w:color="auto"/>
              <w:left w:val="single" w:sz="4" w:space="0" w:color="auto"/>
              <w:bottom w:val="single" w:sz="4" w:space="0" w:color="auto"/>
              <w:right w:val="single" w:sz="4" w:space="0" w:color="auto"/>
            </w:tcBorders>
            <w:hideMark/>
          </w:tcPr>
          <w:p w14:paraId="72D01B9E" w14:textId="77777777" w:rsidR="005B4AFF" w:rsidRPr="00A13FE9" w:rsidRDefault="005B4AFF" w:rsidP="00AB7002">
            <w:pPr>
              <w:pStyle w:val="NoSpacing"/>
              <w:rPr>
                <w:rFonts w:ascii="Arial" w:hAnsi="Arial" w:cs="Arial"/>
              </w:rPr>
            </w:pPr>
            <w:r w:rsidRPr="00A13FE9">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34C06260" w14:textId="77777777" w:rsidR="005B4AFF" w:rsidRPr="00A13FE9" w:rsidRDefault="005B4AFF"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538ADEF5" w14:textId="77777777" w:rsidR="005B4AFF" w:rsidRPr="00A13FE9" w:rsidRDefault="005B4AFF" w:rsidP="00AB7002">
            <w:pPr>
              <w:pStyle w:val="NoSpacing"/>
              <w:rPr>
                <w:rFonts w:ascii="Arial" w:hAnsi="Arial" w:cs="Arial"/>
                <w:color w:val="FF0000"/>
              </w:rPr>
            </w:pPr>
            <w:r w:rsidRPr="00A13FE9">
              <w:rPr>
                <w:rFonts w:ascii="Arial" w:hAnsi="Arial" w:cs="Arial"/>
              </w:rPr>
              <w:t>Growth, Environment and Transport</w:t>
            </w:r>
          </w:p>
        </w:tc>
        <w:tc>
          <w:tcPr>
            <w:tcW w:w="6237" w:type="dxa"/>
            <w:vMerge/>
            <w:tcBorders>
              <w:left w:val="nil"/>
              <w:right w:val="single" w:sz="4" w:space="0" w:color="auto"/>
            </w:tcBorders>
          </w:tcPr>
          <w:p w14:paraId="11982DEE" w14:textId="77777777" w:rsidR="005B4AFF" w:rsidRPr="00A13FE9" w:rsidRDefault="005B4AFF" w:rsidP="00AB7002">
            <w:pPr>
              <w:pStyle w:val="NoSpacing"/>
              <w:rPr>
                <w:rFonts w:ascii="Arial" w:hAnsi="Arial" w:cs="Arial"/>
              </w:rPr>
            </w:pPr>
          </w:p>
        </w:tc>
      </w:tr>
      <w:tr w:rsidR="005B4AFF" w:rsidRPr="00FA30B2" w14:paraId="77D290F5" w14:textId="77777777" w:rsidTr="007F71AA">
        <w:tc>
          <w:tcPr>
            <w:tcW w:w="4536" w:type="dxa"/>
            <w:tcBorders>
              <w:top w:val="single" w:sz="4" w:space="0" w:color="auto"/>
              <w:left w:val="single" w:sz="4" w:space="0" w:color="auto"/>
              <w:bottom w:val="single" w:sz="4" w:space="0" w:color="auto"/>
              <w:right w:val="single" w:sz="4" w:space="0" w:color="auto"/>
            </w:tcBorders>
            <w:hideMark/>
          </w:tcPr>
          <w:p w14:paraId="6741DB7A" w14:textId="77777777" w:rsidR="005B4AFF" w:rsidRPr="00A13FE9" w:rsidRDefault="005B4AFF" w:rsidP="00AB7002">
            <w:pPr>
              <w:pStyle w:val="NoSpacing"/>
              <w:rPr>
                <w:rFonts w:ascii="Arial" w:hAnsi="Arial" w:cs="Arial"/>
              </w:rPr>
            </w:pPr>
            <w:r w:rsidRPr="00A13FE9">
              <w:rPr>
                <w:rFonts w:ascii="Arial" w:hAnsi="Arial" w:cs="Arial"/>
              </w:rPr>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14:paraId="648DC5B0" w14:textId="77777777" w:rsidR="005B4AFF" w:rsidRPr="00A13FE9" w:rsidRDefault="005B4AFF"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2DE5E022" w14:textId="77777777" w:rsidR="005B4AFF" w:rsidRPr="002B3909" w:rsidRDefault="005B4AFF" w:rsidP="00AB7002">
            <w:pPr>
              <w:pStyle w:val="NoSpacing"/>
              <w:rPr>
                <w:rFonts w:ascii="Arial" w:hAnsi="Arial" w:cs="Arial"/>
                <w:color w:val="FF0000"/>
              </w:rPr>
            </w:pPr>
            <w:r w:rsidRPr="00A13FE9">
              <w:rPr>
                <w:rFonts w:ascii="Arial" w:hAnsi="Arial" w:cs="Arial"/>
              </w:rPr>
              <w:t>Growth, Environment and Transport</w:t>
            </w:r>
          </w:p>
        </w:tc>
        <w:tc>
          <w:tcPr>
            <w:tcW w:w="6237" w:type="dxa"/>
            <w:vMerge/>
            <w:tcBorders>
              <w:left w:val="nil"/>
              <w:bottom w:val="single" w:sz="4" w:space="0" w:color="auto"/>
              <w:right w:val="single" w:sz="4" w:space="0" w:color="auto"/>
            </w:tcBorders>
          </w:tcPr>
          <w:p w14:paraId="66D4411B" w14:textId="77777777" w:rsidR="005B4AFF" w:rsidRPr="00FA30B2" w:rsidRDefault="005B4AFF" w:rsidP="00AB7002">
            <w:pPr>
              <w:pStyle w:val="NoSpacing"/>
              <w:rPr>
                <w:rFonts w:ascii="Arial" w:hAnsi="Arial" w:cs="Arial"/>
              </w:rPr>
            </w:pPr>
          </w:p>
        </w:tc>
      </w:tr>
    </w:tbl>
    <w:p w14:paraId="5587A011" w14:textId="1DA14BFB" w:rsidR="000C1365" w:rsidRDefault="000C1365" w:rsidP="007F71AA"/>
    <w:p w14:paraId="5813C312" w14:textId="092F61E2" w:rsidR="005D49BA" w:rsidRDefault="005D49BA" w:rsidP="005D49BA"/>
    <w:p w14:paraId="18EA9422" w14:textId="01B30E0D" w:rsidR="00367E0B" w:rsidRDefault="00367E0B" w:rsidP="001F162D">
      <w:pPr>
        <w:pStyle w:val="Heading2"/>
        <w:rPr>
          <w:rFonts w:eastAsia="Calibri"/>
          <w:b w:val="0"/>
          <w:bCs w:val="0"/>
          <w:sz w:val="24"/>
          <w:szCs w:val="24"/>
          <w:lang w:eastAsia="en-US"/>
        </w:rPr>
      </w:pPr>
    </w:p>
    <w:p w14:paraId="4D2EC663" w14:textId="77777777" w:rsidR="00CE0C5D" w:rsidRPr="00CE0C5D" w:rsidRDefault="00CE0C5D" w:rsidP="00CE0C5D"/>
    <w:p w14:paraId="7CA71810" w14:textId="31530956" w:rsidR="00CE0C5D" w:rsidRDefault="00CE0C5D" w:rsidP="00CE0C5D"/>
    <w:p w14:paraId="5999F4E5" w14:textId="0254C811" w:rsidR="00CE0C5D" w:rsidRDefault="00CE0C5D" w:rsidP="00CE0C5D"/>
    <w:p w14:paraId="098BE39C" w14:textId="56A78A53" w:rsidR="00CE0C5D" w:rsidRDefault="00CE0C5D" w:rsidP="00CE0C5D"/>
    <w:p w14:paraId="74727AE4" w14:textId="66E16B32" w:rsidR="00CE0C5D" w:rsidRDefault="00CE0C5D" w:rsidP="00CE0C5D"/>
    <w:p w14:paraId="70DA4C6E" w14:textId="20D44B11" w:rsidR="00CE0C5D" w:rsidRDefault="00CE0C5D" w:rsidP="00CE0C5D"/>
    <w:p w14:paraId="0B507CC8" w14:textId="77777777" w:rsidR="00BE0C2C" w:rsidRPr="00CE0C5D" w:rsidRDefault="00BE0C2C" w:rsidP="00CE0C5D"/>
    <w:p w14:paraId="112A6AD0" w14:textId="77777777" w:rsidR="00367E0B" w:rsidRPr="00367E0B" w:rsidRDefault="00367E0B" w:rsidP="00367E0B"/>
    <w:p w14:paraId="2006AAC3" w14:textId="5A0BFCB5" w:rsidR="00F044C2" w:rsidRPr="001F162D" w:rsidRDefault="002838F2" w:rsidP="001F162D">
      <w:pPr>
        <w:pStyle w:val="Heading2"/>
        <w:rPr>
          <w:szCs w:val="32"/>
        </w:rPr>
      </w:pPr>
      <w:r w:rsidRPr="0085231B">
        <w:rPr>
          <w:szCs w:val="32"/>
        </w:rPr>
        <w:lastRenderedPageBreak/>
        <w:t>Lancashire will be the place where everyone acts responsibly</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850"/>
        <w:gridCol w:w="1134"/>
        <w:gridCol w:w="1701"/>
        <w:gridCol w:w="1560"/>
        <w:gridCol w:w="1701"/>
        <w:gridCol w:w="1559"/>
        <w:gridCol w:w="1418"/>
      </w:tblGrid>
      <w:tr w:rsidR="0058291F" w:rsidRPr="00FA30B2" w14:paraId="6F9A733E" w14:textId="77777777" w:rsidTr="00CE0C5D">
        <w:trPr>
          <w:trHeight w:val="439"/>
        </w:trPr>
        <w:tc>
          <w:tcPr>
            <w:tcW w:w="1985" w:type="dxa"/>
            <w:tcBorders>
              <w:top w:val="single" w:sz="4" w:space="0" w:color="auto"/>
              <w:left w:val="single" w:sz="4" w:space="0" w:color="auto"/>
              <w:bottom w:val="single" w:sz="4" w:space="0" w:color="auto"/>
              <w:right w:val="single" w:sz="4" w:space="0" w:color="auto"/>
            </w:tcBorders>
            <w:hideMark/>
          </w:tcPr>
          <w:p w14:paraId="3AD1C8FE" w14:textId="77A1AD8C" w:rsidR="0058291F" w:rsidRPr="006C07CE" w:rsidRDefault="0058291F" w:rsidP="0058291F">
            <w:pPr>
              <w:pStyle w:val="NoSpacing"/>
              <w:rPr>
                <w:rFonts w:ascii="Arial" w:hAnsi="Arial" w:cs="Arial"/>
                <w:b/>
              </w:rPr>
            </w:pPr>
            <w:r w:rsidRPr="006C07CE">
              <w:rPr>
                <w:rFonts w:ascii="Arial" w:hAnsi="Arial" w:cs="Arial"/>
                <w:b/>
              </w:rPr>
              <w:t>Performance Indicator</w:t>
            </w:r>
          </w:p>
        </w:tc>
        <w:tc>
          <w:tcPr>
            <w:tcW w:w="1417" w:type="dxa"/>
            <w:tcBorders>
              <w:top w:val="single" w:sz="4" w:space="0" w:color="auto"/>
              <w:left w:val="single" w:sz="4" w:space="0" w:color="auto"/>
              <w:bottom w:val="single" w:sz="4" w:space="0" w:color="auto"/>
              <w:right w:val="single" w:sz="4" w:space="0" w:color="auto"/>
            </w:tcBorders>
            <w:hideMark/>
          </w:tcPr>
          <w:p w14:paraId="1D187D0F" w14:textId="5FD1B5DE" w:rsidR="0058291F" w:rsidRPr="006C07CE" w:rsidRDefault="0058291F" w:rsidP="0058291F">
            <w:pPr>
              <w:pStyle w:val="NoSpacing"/>
              <w:rPr>
                <w:rFonts w:ascii="Arial" w:hAnsi="Arial" w:cs="Arial"/>
                <w:b/>
              </w:rPr>
            </w:pPr>
            <w:r w:rsidRPr="006C07CE">
              <w:rPr>
                <w:rFonts w:ascii="Arial" w:hAnsi="Arial" w:cs="Arial"/>
                <w:b/>
              </w:rPr>
              <w:t>Frequency</w:t>
            </w:r>
          </w:p>
        </w:tc>
        <w:tc>
          <w:tcPr>
            <w:tcW w:w="1418" w:type="dxa"/>
            <w:tcBorders>
              <w:top w:val="single" w:sz="4" w:space="0" w:color="auto"/>
              <w:left w:val="single" w:sz="4" w:space="0" w:color="auto"/>
              <w:bottom w:val="single" w:sz="4" w:space="0" w:color="auto"/>
              <w:right w:val="single" w:sz="4" w:space="0" w:color="auto"/>
            </w:tcBorders>
          </w:tcPr>
          <w:p w14:paraId="4F82788C" w14:textId="6F2912B9" w:rsidR="0058291F" w:rsidRPr="006C07CE" w:rsidRDefault="0058291F" w:rsidP="0058291F">
            <w:pPr>
              <w:pStyle w:val="NoSpacing"/>
              <w:rPr>
                <w:rFonts w:ascii="Arial" w:hAnsi="Arial" w:cs="Arial"/>
                <w:b/>
              </w:rPr>
            </w:pPr>
            <w:r w:rsidRPr="006C07CE">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tcPr>
          <w:p w14:paraId="5B57735E" w14:textId="099F5F13" w:rsidR="0058291F" w:rsidRPr="006C07CE" w:rsidRDefault="0058291F" w:rsidP="0058291F">
            <w:pPr>
              <w:pStyle w:val="NoSpacing"/>
              <w:rPr>
                <w:rFonts w:ascii="Arial" w:hAnsi="Arial" w:cs="Arial"/>
                <w:b/>
              </w:rPr>
            </w:pPr>
            <w:r w:rsidRPr="006C07CE">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C0DCB1" w14:textId="559FFB7D" w:rsidR="0058291F" w:rsidRPr="006C07CE" w:rsidRDefault="0058291F" w:rsidP="0058291F">
            <w:pPr>
              <w:pStyle w:val="NoSpacing"/>
              <w:rPr>
                <w:rFonts w:ascii="Arial" w:hAnsi="Arial" w:cs="Arial"/>
                <w:b/>
              </w:rPr>
            </w:pPr>
            <w:r w:rsidRPr="006C07CE">
              <w:rPr>
                <w:rFonts w:ascii="Arial" w:hAnsi="Arial" w:cs="Arial"/>
                <w:b/>
              </w:rPr>
              <w:t>2019/20 Outturn</w:t>
            </w:r>
          </w:p>
        </w:tc>
        <w:tc>
          <w:tcPr>
            <w:tcW w:w="1701" w:type="dxa"/>
            <w:tcBorders>
              <w:top w:val="single" w:sz="4" w:space="0" w:color="auto"/>
              <w:left w:val="single" w:sz="4" w:space="0" w:color="auto"/>
              <w:bottom w:val="single" w:sz="4" w:space="0" w:color="auto"/>
              <w:right w:val="single" w:sz="4" w:space="0" w:color="auto"/>
            </w:tcBorders>
          </w:tcPr>
          <w:p w14:paraId="0CDF1525" w14:textId="43226B34" w:rsidR="0058291F" w:rsidRPr="006C07CE" w:rsidRDefault="0058291F" w:rsidP="0058291F">
            <w:pPr>
              <w:pStyle w:val="NoSpacing"/>
              <w:rPr>
                <w:rFonts w:ascii="Arial" w:hAnsi="Arial" w:cs="Arial"/>
                <w:b/>
              </w:rPr>
            </w:pPr>
            <w:r w:rsidRPr="006C07CE">
              <w:rPr>
                <w:rFonts w:ascii="Arial" w:hAnsi="Arial" w:cs="Arial"/>
                <w:b/>
              </w:rPr>
              <w:t>2020/21 Quarter 1 (April –June)</w:t>
            </w:r>
          </w:p>
        </w:tc>
        <w:tc>
          <w:tcPr>
            <w:tcW w:w="1560" w:type="dxa"/>
            <w:tcBorders>
              <w:top w:val="single" w:sz="4" w:space="0" w:color="auto"/>
              <w:left w:val="single" w:sz="4" w:space="0" w:color="auto"/>
              <w:bottom w:val="single" w:sz="4" w:space="0" w:color="auto"/>
              <w:right w:val="single" w:sz="4" w:space="0" w:color="auto"/>
            </w:tcBorders>
          </w:tcPr>
          <w:p w14:paraId="653AF1AC" w14:textId="40079E04" w:rsidR="0058291F" w:rsidRPr="006C07CE" w:rsidRDefault="0058291F" w:rsidP="0058291F">
            <w:pPr>
              <w:pStyle w:val="NoSpacing"/>
              <w:rPr>
                <w:rFonts w:ascii="Arial" w:hAnsi="Arial" w:cs="Arial"/>
                <w:b/>
              </w:rPr>
            </w:pPr>
            <w:r w:rsidRPr="006C07CE">
              <w:rPr>
                <w:rFonts w:ascii="Arial" w:hAnsi="Arial" w:cs="Arial"/>
                <w:b/>
              </w:rPr>
              <w:t>Quarter 2 (July –September)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564D65" w14:textId="6E96F28B" w:rsidR="0058291F" w:rsidRPr="006C07CE" w:rsidRDefault="0058291F" w:rsidP="0058291F">
            <w:pPr>
              <w:pStyle w:val="NoSpacing"/>
              <w:rPr>
                <w:rFonts w:ascii="Arial" w:hAnsi="Arial" w:cs="Arial"/>
                <w:b/>
              </w:rPr>
            </w:pPr>
            <w:r w:rsidRPr="006C07CE">
              <w:rPr>
                <w:rFonts w:ascii="Arial" w:hAnsi="Arial" w:cs="Arial"/>
                <w:b/>
              </w:rPr>
              <w:t>Quarter 3 (October - December)</w:t>
            </w:r>
          </w:p>
        </w:tc>
        <w:tc>
          <w:tcPr>
            <w:tcW w:w="1559" w:type="dxa"/>
            <w:tcBorders>
              <w:top w:val="single" w:sz="4" w:space="0" w:color="auto"/>
              <w:left w:val="single" w:sz="4" w:space="0" w:color="auto"/>
              <w:bottom w:val="single" w:sz="4" w:space="0" w:color="auto"/>
              <w:right w:val="single" w:sz="4" w:space="0" w:color="auto"/>
            </w:tcBorders>
          </w:tcPr>
          <w:p w14:paraId="3DFEABCE" w14:textId="68349C6F" w:rsidR="0058291F" w:rsidRPr="006C07CE" w:rsidRDefault="0058291F" w:rsidP="0058291F">
            <w:pPr>
              <w:pStyle w:val="NoSpacing"/>
              <w:rPr>
                <w:rFonts w:ascii="Arial" w:hAnsi="Arial" w:cs="Arial"/>
                <w:b/>
              </w:rPr>
            </w:pPr>
            <w:r w:rsidRPr="006C07CE">
              <w:rPr>
                <w:rFonts w:ascii="Arial" w:hAnsi="Arial" w:cs="Arial"/>
                <w:b/>
              </w:rPr>
              <w:t>Quarter 4 (January - March)</w:t>
            </w:r>
          </w:p>
        </w:tc>
        <w:tc>
          <w:tcPr>
            <w:tcW w:w="1418" w:type="dxa"/>
            <w:tcBorders>
              <w:top w:val="single" w:sz="4" w:space="0" w:color="auto"/>
              <w:left w:val="single" w:sz="4" w:space="0" w:color="auto"/>
              <w:bottom w:val="single" w:sz="4" w:space="0" w:color="auto"/>
              <w:right w:val="single" w:sz="4" w:space="0" w:color="auto"/>
            </w:tcBorders>
          </w:tcPr>
          <w:p w14:paraId="06E3E37A" w14:textId="23533B56" w:rsidR="0058291F" w:rsidRPr="006C07CE" w:rsidRDefault="0058291F" w:rsidP="0058291F">
            <w:pPr>
              <w:pStyle w:val="NoSpacing"/>
              <w:rPr>
                <w:rFonts w:ascii="Arial" w:hAnsi="Arial" w:cs="Arial"/>
                <w:b/>
              </w:rPr>
            </w:pPr>
            <w:r w:rsidRPr="006C07CE">
              <w:rPr>
                <w:rFonts w:ascii="Arial" w:hAnsi="Arial" w:cs="Arial"/>
                <w:b/>
              </w:rPr>
              <w:t>2020/21 Target</w:t>
            </w:r>
          </w:p>
        </w:tc>
      </w:tr>
      <w:tr w:rsidR="00CE0C5D" w:rsidRPr="00FA30B2" w14:paraId="20B39D61" w14:textId="52A605A4" w:rsidTr="00ED3E73">
        <w:trPr>
          <w:trHeight w:val="680"/>
        </w:trPr>
        <w:tc>
          <w:tcPr>
            <w:tcW w:w="1985" w:type="dxa"/>
            <w:tcBorders>
              <w:top w:val="single" w:sz="4" w:space="0" w:color="auto"/>
              <w:left w:val="single" w:sz="4" w:space="0" w:color="auto"/>
              <w:bottom w:val="single" w:sz="4" w:space="0" w:color="auto"/>
              <w:right w:val="single" w:sz="4" w:space="0" w:color="auto"/>
            </w:tcBorders>
            <w:hideMark/>
          </w:tcPr>
          <w:p w14:paraId="13440D02" w14:textId="77777777" w:rsidR="00CE0C5D" w:rsidRPr="00FA30B2" w:rsidRDefault="00CE0C5D" w:rsidP="00A13FE9">
            <w:pPr>
              <w:pStyle w:val="NoSpacing"/>
              <w:rPr>
                <w:rFonts w:ascii="Arial" w:hAnsi="Arial" w:cs="Arial"/>
              </w:rPr>
            </w:pPr>
            <w:r w:rsidRPr="0084562A">
              <w:rPr>
                <w:rFonts w:ascii="Arial" w:hAnsi="Arial" w:cs="Arial"/>
              </w:rPr>
              <w:t>Improving our population's health and wellbeing</w:t>
            </w:r>
            <w:r w:rsidRPr="00FA30B2">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4B3C664" w14:textId="77777777" w:rsidR="00CE0C5D" w:rsidRPr="00FA30B2" w:rsidRDefault="00CE0C5D" w:rsidP="00A13FE9">
            <w:pPr>
              <w:pStyle w:val="NoSpacing"/>
              <w:rPr>
                <w:rFonts w:ascii="Arial" w:hAnsi="Arial" w:cs="Arial"/>
              </w:rPr>
            </w:pPr>
            <w:r w:rsidRPr="00FA30B2">
              <w:rPr>
                <w:rFonts w:ascii="Arial" w:hAnsi="Arial" w:cs="Arial"/>
              </w:rPr>
              <w:t>Annual</w:t>
            </w:r>
          </w:p>
        </w:tc>
        <w:tc>
          <w:tcPr>
            <w:tcW w:w="1418" w:type="dxa"/>
            <w:tcBorders>
              <w:top w:val="single" w:sz="4" w:space="0" w:color="auto"/>
              <w:left w:val="single" w:sz="4" w:space="0" w:color="auto"/>
              <w:bottom w:val="single" w:sz="4" w:space="0" w:color="auto"/>
              <w:right w:val="single" w:sz="4" w:space="0" w:color="auto"/>
            </w:tcBorders>
          </w:tcPr>
          <w:p w14:paraId="6FCEBACC" w14:textId="77777777" w:rsidR="00CE0C5D" w:rsidRPr="00FA30B2" w:rsidRDefault="00CE0C5D" w:rsidP="00A13FE9">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9923" w:type="dxa"/>
            <w:gridSpan w:val="7"/>
          </w:tcPr>
          <w:p w14:paraId="46333C9E" w14:textId="6E11C2D8" w:rsidR="00CE0C5D" w:rsidRPr="00050B4B" w:rsidRDefault="00CE0C5D" w:rsidP="00A13FE9">
            <w:pPr>
              <w:autoSpaceDE/>
              <w:autoSpaceDN/>
              <w:adjustRightInd/>
              <w:spacing w:after="160" w:line="259" w:lineRule="auto"/>
              <w:jc w:val="left"/>
              <w:rPr>
                <w:sz w:val="22"/>
                <w:szCs w:val="22"/>
              </w:rPr>
            </w:pPr>
            <w:r w:rsidRPr="00050B4B">
              <w:rPr>
                <w:rFonts w:cs="Arial"/>
                <w:sz w:val="22"/>
                <w:szCs w:val="22"/>
              </w:rPr>
              <w:t>Annual Report – report scheduled for a future CCPI meeting (to be confirmed).</w:t>
            </w:r>
          </w:p>
        </w:tc>
      </w:tr>
      <w:tr w:rsidR="0058291F" w:rsidRPr="0080455B" w14:paraId="693DF42E" w14:textId="77777777" w:rsidTr="00CE0C5D">
        <w:trPr>
          <w:trHeight w:val="893"/>
        </w:trPr>
        <w:tc>
          <w:tcPr>
            <w:tcW w:w="1985" w:type="dxa"/>
            <w:tcBorders>
              <w:top w:val="single" w:sz="4" w:space="0" w:color="auto"/>
              <w:left w:val="single" w:sz="4" w:space="0" w:color="auto"/>
              <w:bottom w:val="single" w:sz="4" w:space="0" w:color="auto"/>
              <w:right w:val="single" w:sz="4" w:space="0" w:color="auto"/>
            </w:tcBorders>
            <w:hideMark/>
          </w:tcPr>
          <w:p w14:paraId="25A95EF7" w14:textId="77777777" w:rsidR="0058291F" w:rsidRPr="0060756D" w:rsidRDefault="0058291F" w:rsidP="0058291F">
            <w:pPr>
              <w:pStyle w:val="NoSpacing"/>
              <w:rPr>
                <w:rFonts w:ascii="Arial" w:hAnsi="Arial" w:cs="Arial"/>
              </w:rPr>
            </w:pPr>
            <w:r w:rsidRPr="0060756D">
              <w:rPr>
                <w:rFonts w:ascii="Arial" w:hAnsi="Arial" w:cs="Arial"/>
              </w:rPr>
              <w:t>Percentage of older people (65 and over) who were still at home 91 days after discharge from hospital into reablement/rehabilitation services</w:t>
            </w:r>
          </w:p>
        </w:tc>
        <w:tc>
          <w:tcPr>
            <w:tcW w:w="1417" w:type="dxa"/>
            <w:tcBorders>
              <w:top w:val="single" w:sz="4" w:space="0" w:color="auto"/>
              <w:left w:val="single" w:sz="4" w:space="0" w:color="auto"/>
              <w:bottom w:val="single" w:sz="4" w:space="0" w:color="auto"/>
              <w:right w:val="single" w:sz="4" w:space="0" w:color="auto"/>
            </w:tcBorders>
            <w:hideMark/>
          </w:tcPr>
          <w:p w14:paraId="6DAD0391" w14:textId="77777777" w:rsidR="0058291F" w:rsidRPr="0060756D" w:rsidRDefault="0058291F" w:rsidP="0058291F">
            <w:pPr>
              <w:pStyle w:val="NoSpacing"/>
              <w:rPr>
                <w:rFonts w:ascii="Arial" w:hAnsi="Arial" w:cs="Arial"/>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14:paraId="216EC9B7" w14:textId="77777777" w:rsidR="0058291F" w:rsidRPr="0060756D" w:rsidRDefault="0058291F" w:rsidP="0058291F">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323D24A8" w14:textId="77777777" w:rsidR="0058291F" w:rsidRPr="0060756D" w:rsidRDefault="0058291F" w:rsidP="0058291F">
            <w:pPr>
              <w:pStyle w:val="NoSpacing"/>
              <w:rPr>
                <w:rFonts w:ascii="Arial" w:hAnsi="Arial" w:cs="Arial"/>
              </w:rPr>
            </w:pPr>
            <w:r w:rsidRPr="0060756D">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D0CAAE" w14:textId="77777777" w:rsidR="0058291F" w:rsidRPr="0060756D" w:rsidRDefault="0058291F" w:rsidP="0058291F">
            <w:pPr>
              <w:pStyle w:val="NoSpacing"/>
              <w:spacing w:line="360" w:lineRule="auto"/>
              <w:jc w:val="center"/>
              <w:rPr>
                <w:rFonts w:ascii="Arial" w:hAnsi="Arial" w:cs="Arial"/>
              </w:rPr>
            </w:pPr>
            <w:r w:rsidRPr="0060756D">
              <w:rPr>
                <w:rFonts w:ascii="Arial" w:hAnsi="Arial" w:cs="Arial"/>
              </w:rPr>
              <w:t>84.3%</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FC1BA5" w14:textId="77777777" w:rsidR="0058291F" w:rsidRPr="0060756D" w:rsidRDefault="0058291F" w:rsidP="0058291F">
            <w:pPr>
              <w:pStyle w:val="NoSpacing"/>
              <w:jc w:val="center"/>
              <w:rPr>
                <w:rFonts w:ascii="Arial" w:hAnsi="Arial" w:cs="Arial"/>
              </w:rPr>
            </w:pPr>
            <w:r>
              <w:rPr>
                <w:rFonts w:ascii="Arial" w:hAnsi="Arial" w:cs="Arial"/>
              </w:rPr>
              <w:t>84.4%</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BD901D" w14:textId="77777777" w:rsidR="0058291F" w:rsidRPr="0060756D" w:rsidRDefault="0058291F" w:rsidP="0058291F">
            <w:pPr>
              <w:pStyle w:val="NoSpacing"/>
              <w:jc w:val="center"/>
              <w:rPr>
                <w:rFonts w:ascii="Arial" w:hAnsi="Arial" w:cs="Arial"/>
              </w:rPr>
            </w:pPr>
            <w:r>
              <w:rPr>
                <w:rFonts w:ascii="Arial" w:hAnsi="Arial" w:cs="Arial"/>
              </w:rPr>
              <w:t>84.8%</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4E7615" w14:textId="77777777" w:rsidR="0058291F" w:rsidRPr="0060756D" w:rsidRDefault="0058291F" w:rsidP="0058291F">
            <w:pPr>
              <w:pStyle w:val="NoSpacing"/>
              <w:jc w:val="center"/>
              <w:rPr>
                <w:rFonts w:ascii="Arial" w:hAnsi="Arial" w:cs="Arial"/>
              </w:rPr>
            </w:pPr>
            <w:r w:rsidRPr="0060756D">
              <w:rPr>
                <w:rFonts w:ascii="Arial" w:hAnsi="Arial" w:cs="Arial"/>
              </w:rPr>
              <w:t>84.4%</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BD819C" w14:textId="5FF5915F" w:rsidR="0058291F" w:rsidRPr="0060756D" w:rsidRDefault="0058291F" w:rsidP="0058291F">
            <w:pPr>
              <w:pStyle w:val="NoSpacing"/>
              <w:jc w:val="center"/>
              <w:rPr>
                <w:rFonts w:ascii="Arial" w:hAnsi="Arial" w:cs="Arial"/>
              </w:rPr>
            </w:pPr>
            <w:r w:rsidRPr="004C1DD5">
              <w:rPr>
                <w:rFonts w:ascii="Arial" w:hAnsi="Arial" w:cs="Arial"/>
              </w:rPr>
              <w:t>81.6%</w:t>
            </w:r>
          </w:p>
        </w:tc>
        <w:tc>
          <w:tcPr>
            <w:tcW w:w="1418" w:type="dxa"/>
            <w:tcBorders>
              <w:top w:val="single" w:sz="4" w:space="0" w:color="auto"/>
              <w:left w:val="single" w:sz="4" w:space="0" w:color="auto"/>
              <w:bottom w:val="single" w:sz="4" w:space="0" w:color="auto"/>
              <w:right w:val="single" w:sz="4" w:space="0" w:color="auto"/>
            </w:tcBorders>
          </w:tcPr>
          <w:p w14:paraId="481503C2" w14:textId="78AD9F19" w:rsidR="0058291F" w:rsidRPr="0060756D" w:rsidRDefault="0058291F" w:rsidP="0058291F">
            <w:pPr>
              <w:pStyle w:val="NoSpacing"/>
              <w:jc w:val="center"/>
              <w:rPr>
                <w:rFonts w:ascii="Arial" w:hAnsi="Arial" w:cs="Arial"/>
              </w:rPr>
            </w:pPr>
            <w:r w:rsidRPr="0060756D">
              <w:rPr>
                <w:rFonts w:ascii="Arial" w:hAnsi="Arial" w:cs="Arial"/>
              </w:rPr>
              <w:t>87.4%</w:t>
            </w:r>
          </w:p>
        </w:tc>
      </w:tr>
      <w:tr w:rsidR="0058291F" w:rsidRPr="0080455B" w14:paraId="43913760" w14:textId="77777777" w:rsidTr="00CE0C5D">
        <w:trPr>
          <w:trHeight w:val="666"/>
        </w:trPr>
        <w:tc>
          <w:tcPr>
            <w:tcW w:w="1985" w:type="dxa"/>
            <w:tcBorders>
              <w:top w:val="single" w:sz="4" w:space="0" w:color="auto"/>
              <w:left w:val="single" w:sz="4" w:space="0" w:color="auto"/>
              <w:bottom w:val="single" w:sz="4" w:space="0" w:color="auto"/>
              <w:right w:val="single" w:sz="4" w:space="0" w:color="auto"/>
            </w:tcBorders>
            <w:hideMark/>
          </w:tcPr>
          <w:p w14:paraId="08CD663A" w14:textId="77777777" w:rsidR="0058291F" w:rsidRPr="0060756D" w:rsidRDefault="0058291F" w:rsidP="0058291F">
            <w:pPr>
              <w:pStyle w:val="NoSpacing"/>
              <w:rPr>
                <w:rFonts w:ascii="Arial" w:hAnsi="Arial" w:cs="Arial"/>
                <w:i/>
              </w:rPr>
            </w:pPr>
            <w:r w:rsidRPr="0060756D">
              <w:rPr>
                <w:rFonts w:ascii="Arial" w:hAnsi="Arial" w:cs="Arial"/>
              </w:rPr>
              <w:t>Proportion of adults with learning disabilities who live in their own home</w:t>
            </w:r>
          </w:p>
        </w:tc>
        <w:tc>
          <w:tcPr>
            <w:tcW w:w="1417" w:type="dxa"/>
            <w:tcBorders>
              <w:top w:val="single" w:sz="4" w:space="0" w:color="auto"/>
              <w:left w:val="single" w:sz="4" w:space="0" w:color="auto"/>
              <w:bottom w:val="single" w:sz="4" w:space="0" w:color="auto"/>
              <w:right w:val="single" w:sz="4" w:space="0" w:color="auto"/>
            </w:tcBorders>
            <w:hideMark/>
          </w:tcPr>
          <w:p w14:paraId="4AD7668F" w14:textId="77777777" w:rsidR="0058291F" w:rsidRPr="0060756D" w:rsidRDefault="0058291F" w:rsidP="0058291F">
            <w:pPr>
              <w:pStyle w:val="NoSpacing"/>
              <w:rPr>
                <w:rFonts w:ascii="Arial" w:hAnsi="Arial" w:cs="Arial"/>
                <w:i/>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14:paraId="44864B39" w14:textId="77777777" w:rsidR="0058291F" w:rsidRPr="0060756D" w:rsidRDefault="0058291F" w:rsidP="0058291F">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6F00AA49" w14:textId="77777777" w:rsidR="0058291F" w:rsidRPr="0060756D" w:rsidRDefault="0058291F" w:rsidP="0058291F">
            <w:pPr>
              <w:pStyle w:val="NoSpacing"/>
              <w:rPr>
                <w:rFonts w:ascii="Arial" w:hAnsi="Arial" w:cs="Arial"/>
              </w:rPr>
            </w:pPr>
            <w:r w:rsidRPr="0060756D">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488BF4" w14:textId="77777777" w:rsidR="0058291F" w:rsidRPr="0060756D" w:rsidRDefault="0058291F" w:rsidP="0058291F">
            <w:pPr>
              <w:pStyle w:val="NoSpacing"/>
              <w:jc w:val="center"/>
              <w:rPr>
                <w:rFonts w:ascii="Arial" w:hAnsi="Arial" w:cs="Arial"/>
              </w:rPr>
            </w:pPr>
            <w:r w:rsidRPr="0060756D">
              <w:rPr>
                <w:rFonts w:ascii="Arial" w:hAnsi="Arial" w:cs="Arial"/>
              </w:rPr>
              <w:t>82.1%</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2DFF96" w14:textId="77777777" w:rsidR="0058291F" w:rsidRPr="0060756D" w:rsidRDefault="0058291F" w:rsidP="0058291F">
            <w:pPr>
              <w:pStyle w:val="NoSpacing"/>
              <w:jc w:val="center"/>
              <w:rPr>
                <w:rFonts w:ascii="Arial" w:hAnsi="Arial" w:cs="Arial"/>
              </w:rPr>
            </w:pPr>
            <w:r>
              <w:rPr>
                <w:rFonts w:ascii="Arial" w:hAnsi="Arial" w:cs="Arial"/>
              </w:rPr>
              <w:t>81.6%</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B2DF5B" w14:textId="77777777" w:rsidR="0058291F" w:rsidRPr="0060756D" w:rsidRDefault="0058291F" w:rsidP="0058291F">
            <w:pPr>
              <w:pStyle w:val="NoSpacing"/>
              <w:jc w:val="center"/>
              <w:rPr>
                <w:rFonts w:ascii="Arial" w:hAnsi="Arial" w:cs="Arial"/>
              </w:rPr>
            </w:pPr>
            <w:r>
              <w:rPr>
                <w:rFonts w:ascii="Arial" w:hAnsi="Arial" w:cs="Arial"/>
              </w:rPr>
              <w:t>79.6%</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22F72EF" w14:textId="77777777" w:rsidR="0058291F" w:rsidRPr="0060756D" w:rsidRDefault="0058291F" w:rsidP="0058291F">
            <w:pPr>
              <w:pStyle w:val="NoSpacing"/>
              <w:jc w:val="center"/>
              <w:rPr>
                <w:rFonts w:ascii="Arial" w:hAnsi="Arial" w:cs="Arial"/>
              </w:rPr>
            </w:pPr>
            <w:r w:rsidRPr="0060756D">
              <w:rPr>
                <w:rFonts w:ascii="Arial" w:hAnsi="Arial" w:cs="Arial"/>
              </w:rPr>
              <w:t>79.9%</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D2C3EA" w14:textId="4C3F234C" w:rsidR="0058291F" w:rsidRPr="0060756D" w:rsidRDefault="0058291F" w:rsidP="0058291F">
            <w:pPr>
              <w:pStyle w:val="NoSpacing"/>
              <w:jc w:val="center"/>
              <w:rPr>
                <w:rFonts w:ascii="Arial" w:hAnsi="Arial" w:cs="Arial"/>
              </w:rPr>
            </w:pPr>
            <w:r w:rsidRPr="004C1DD5">
              <w:rPr>
                <w:rFonts w:ascii="Arial" w:hAnsi="Arial" w:cs="Arial"/>
              </w:rPr>
              <w:t>83.0%</w:t>
            </w:r>
          </w:p>
        </w:tc>
        <w:tc>
          <w:tcPr>
            <w:tcW w:w="1418" w:type="dxa"/>
            <w:tcBorders>
              <w:top w:val="single" w:sz="4" w:space="0" w:color="auto"/>
              <w:left w:val="single" w:sz="4" w:space="0" w:color="auto"/>
              <w:bottom w:val="single" w:sz="4" w:space="0" w:color="auto"/>
              <w:right w:val="single" w:sz="4" w:space="0" w:color="auto"/>
            </w:tcBorders>
          </w:tcPr>
          <w:p w14:paraId="3159229A" w14:textId="7C221D80" w:rsidR="0058291F" w:rsidRPr="0060756D" w:rsidRDefault="0058291F" w:rsidP="0058291F">
            <w:pPr>
              <w:pStyle w:val="NoSpacing"/>
              <w:jc w:val="center"/>
              <w:rPr>
                <w:rFonts w:ascii="Arial" w:hAnsi="Arial" w:cs="Arial"/>
              </w:rPr>
            </w:pPr>
            <w:r w:rsidRPr="0060756D">
              <w:rPr>
                <w:rFonts w:ascii="Arial" w:hAnsi="Arial" w:cs="Arial"/>
              </w:rPr>
              <w:t>86%</w:t>
            </w:r>
          </w:p>
        </w:tc>
      </w:tr>
      <w:tr w:rsidR="0058291F" w:rsidRPr="0080455B" w14:paraId="161BFC9B" w14:textId="77777777" w:rsidTr="00CE0C5D">
        <w:trPr>
          <w:trHeight w:val="666"/>
        </w:trPr>
        <w:tc>
          <w:tcPr>
            <w:tcW w:w="1985" w:type="dxa"/>
            <w:tcBorders>
              <w:top w:val="single" w:sz="4" w:space="0" w:color="auto"/>
              <w:left w:val="single" w:sz="4" w:space="0" w:color="auto"/>
              <w:bottom w:val="single" w:sz="4" w:space="0" w:color="auto"/>
              <w:right w:val="single" w:sz="4" w:space="0" w:color="auto"/>
            </w:tcBorders>
            <w:hideMark/>
          </w:tcPr>
          <w:p w14:paraId="6EED500C" w14:textId="149FA9C1" w:rsidR="0058291F" w:rsidRDefault="0058291F" w:rsidP="0058291F">
            <w:pPr>
              <w:pStyle w:val="NoSpacing"/>
              <w:rPr>
                <w:rFonts w:ascii="Arial" w:hAnsi="Arial" w:cs="Arial"/>
              </w:rPr>
            </w:pPr>
            <w:r w:rsidRPr="0060756D">
              <w:rPr>
                <w:rFonts w:ascii="Arial" w:hAnsi="Arial" w:cs="Arial"/>
              </w:rPr>
              <w:t>Proportion of adults and older people receiving long term services who are supported in the community</w:t>
            </w:r>
          </w:p>
          <w:p w14:paraId="4C4008C9" w14:textId="4F9DDF49" w:rsidR="006C07CE" w:rsidRDefault="006C07CE" w:rsidP="0058291F">
            <w:pPr>
              <w:pStyle w:val="NoSpacing"/>
              <w:rPr>
                <w:rFonts w:ascii="Arial" w:hAnsi="Arial" w:cs="Arial"/>
              </w:rPr>
            </w:pPr>
          </w:p>
          <w:p w14:paraId="768BCC4E" w14:textId="77777777" w:rsidR="006C07CE" w:rsidRDefault="006C07CE" w:rsidP="0058291F">
            <w:pPr>
              <w:pStyle w:val="NoSpacing"/>
              <w:rPr>
                <w:rFonts w:ascii="Arial" w:hAnsi="Arial" w:cs="Arial"/>
              </w:rPr>
            </w:pPr>
          </w:p>
          <w:p w14:paraId="35063804" w14:textId="2124D479" w:rsidR="00CE0C5D" w:rsidRPr="0060756D" w:rsidRDefault="00CE0C5D" w:rsidP="0058291F">
            <w:pPr>
              <w:pStyle w:val="NoSpacing"/>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hideMark/>
          </w:tcPr>
          <w:p w14:paraId="4A9FB8A2" w14:textId="77777777" w:rsidR="0058291F" w:rsidRPr="0060756D" w:rsidRDefault="0058291F" w:rsidP="0058291F">
            <w:pPr>
              <w:pStyle w:val="NoSpacing"/>
              <w:rPr>
                <w:rFonts w:ascii="Arial" w:hAnsi="Arial" w:cs="Arial"/>
                <w:i/>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14:paraId="6C7B0E1E" w14:textId="77777777" w:rsidR="0058291F" w:rsidRPr="0060756D" w:rsidRDefault="0058291F" w:rsidP="0058291F">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47D98AFC" w14:textId="77777777" w:rsidR="0058291F" w:rsidRPr="0060756D" w:rsidRDefault="0058291F" w:rsidP="0058291F">
            <w:pPr>
              <w:pStyle w:val="NoSpacing"/>
              <w:rPr>
                <w:rFonts w:ascii="Arial" w:hAnsi="Arial" w:cs="Arial"/>
              </w:rPr>
            </w:pPr>
            <w:r w:rsidRPr="0060756D">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02F90C" w14:textId="77777777" w:rsidR="0058291F" w:rsidRPr="0060756D" w:rsidRDefault="0058291F" w:rsidP="0058291F">
            <w:pPr>
              <w:pStyle w:val="NoSpacing"/>
              <w:jc w:val="center"/>
              <w:rPr>
                <w:rFonts w:ascii="Arial" w:hAnsi="Arial" w:cs="Arial"/>
              </w:rPr>
            </w:pPr>
            <w:r w:rsidRPr="0060756D">
              <w:rPr>
                <w:rFonts w:ascii="Arial" w:hAnsi="Arial" w:cs="Arial"/>
              </w:rPr>
              <w:t>69.7%</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1929E3" w14:textId="77777777" w:rsidR="0058291F" w:rsidRPr="0060756D" w:rsidRDefault="0058291F" w:rsidP="0058291F">
            <w:pPr>
              <w:pStyle w:val="NoSpacing"/>
              <w:jc w:val="center"/>
              <w:rPr>
                <w:rFonts w:ascii="Arial" w:hAnsi="Arial" w:cs="Arial"/>
              </w:rPr>
            </w:pPr>
            <w:r>
              <w:rPr>
                <w:rFonts w:ascii="Arial" w:hAnsi="Arial" w:cs="Arial"/>
              </w:rPr>
              <w:t>71.4%</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68ABEC" w14:textId="77777777" w:rsidR="0058291F" w:rsidRPr="0060756D" w:rsidRDefault="0058291F" w:rsidP="0058291F">
            <w:pPr>
              <w:pStyle w:val="NoSpacing"/>
              <w:jc w:val="center"/>
              <w:rPr>
                <w:rFonts w:ascii="Arial" w:hAnsi="Arial" w:cs="Arial"/>
              </w:rPr>
            </w:pPr>
            <w:r>
              <w:rPr>
                <w:rFonts w:ascii="Arial" w:hAnsi="Arial" w:cs="Arial"/>
              </w:rPr>
              <w:t>72.1%</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98815B" w14:textId="77777777" w:rsidR="0058291F" w:rsidRPr="0060756D" w:rsidRDefault="0058291F" w:rsidP="0058291F">
            <w:pPr>
              <w:pStyle w:val="NoSpacing"/>
              <w:jc w:val="center"/>
              <w:rPr>
                <w:rFonts w:ascii="Arial" w:hAnsi="Arial" w:cs="Arial"/>
              </w:rPr>
            </w:pPr>
            <w:r w:rsidRPr="0060756D">
              <w:rPr>
                <w:rFonts w:ascii="Arial" w:hAnsi="Arial" w:cs="Arial"/>
              </w:rPr>
              <w:t>72.1%</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0DD91E" w14:textId="24F61F58" w:rsidR="0058291F" w:rsidRPr="0060756D" w:rsidRDefault="0058291F" w:rsidP="0058291F">
            <w:pPr>
              <w:pStyle w:val="NoSpacing"/>
              <w:jc w:val="center"/>
              <w:rPr>
                <w:rFonts w:ascii="Arial" w:hAnsi="Arial" w:cs="Arial"/>
              </w:rPr>
            </w:pPr>
            <w:r w:rsidRPr="004C1DD5">
              <w:rPr>
                <w:rFonts w:ascii="Arial" w:hAnsi="Arial" w:cs="Arial"/>
              </w:rPr>
              <w:t>72.3%</w:t>
            </w:r>
          </w:p>
        </w:tc>
        <w:tc>
          <w:tcPr>
            <w:tcW w:w="1418" w:type="dxa"/>
            <w:tcBorders>
              <w:top w:val="single" w:sz="4" w:space="0" w:color="auto"/>
              <w:left w:val="single" w:sz="4" w:space="0" w:color="auto"/>
              <w:bottom w:val="single" w:sz="4" w:space="0" w:color="auto"/>
              <w:right w:val="single" w:sz="4" w:space="0" w:color="auto"/>
            </w:tcBorders>
          </w:tcPr>
          <w:p w14:paraId="34A76D61" w14:textId="07B2D123" w:rsidR="0058291F" w:rsidRPr="0060756D" w:rsidRDefault="0058291F" w:rsidP="0058291F">
            <w:pPr>
              <w:pStyle w:val="NoSpacing"/>
              <w:jc w:val="center"/>
              <w:rPr>
                <w:rFonts w:ascii="Arial" w:hAnsi="Arial" w:cs="Arial"/>
              </w:rPr>
            </w:pPr>
            <w:r w:rsidRPr="0060756D">
              <w:rPr>
                <w:rFonts w:ascii="Arial" w:hAnsi="Arial" w:cs="Arial"/>
              </w:rPr>
              <w:t>72%</w:t>
            </w:r>
          </w:p>
        </w:tc>
      </w:tr>
      <w:tr w:rsidR="0058291F" w:rsidRPr="0080455B" w14:paraId="684BF351" w14:textId="77777777" w:rsidTr="00CE0C5D">
        <w:trPr>
          <w:trHeight w:val="666"/>
        </w:trPr>
        <w:tc>
          <w:tcPr>
            <w:tcW w:w="1985" w:type="dxa"/>
            <w:tcBorders>
              <w:top w:val="single" w:sz="4" w:space="0" w:color="auto"/>
              <w:left w:val="single" w:sz="4" w:space="0" w:color="auto"/>
              <w:bottom w:val="single" w:sz="4" w:space="0" w:color="auto"/>
              <w:right w:val="single" w:sz="4" w:space="0" w:color="auto"/>
            </w:tcBorders>
          </w:tcPr>
          <w:p w14:paraId="0F599C8B" w14:textId="28CB43BA" w:rsidR="0058291F" w:rsidRPr="006C07CE" w:rsidRDefault="0058291F" w:rsidP="0058291F">
            <w:pPr>
              <w:pStyle w:val="NoSpacing"/>
              <w:rPr>
                <w:rFonts w:ascii="Arial" w:hAnsi="Arial" w:cs="Arial"/>
              </w:rPr>
            </w:pPr>
            <w:r w:rsidRPr="006C07CE">
              <w:rPr>
                <w:rFonts w:ascii="Arial" w:hAnsi="Arial" w:cs="Arial"/>
                <w:b/>
              </w:rPr>
              <w:lastRenderedPageBreak/>
              <w:t>Performance Indicator</w:t>
            </w:r>
          </w:p>
        </w:tc>
        <w:tc>
          <w:tcPr>
            <w:tcW w:w="1417" w:type="dxa"/>
            <w:tcBorders>
              <w:top w:val="single" w:sz="4" w:space="0" w:color="auto"/>
              <w:left w:val="single" w:sz="4" w:space="0" w:color="auto"/>
              <w:bottom w:val="single" w:sz="4" w:space="0" w:color="auto"/>
              <w:right w:val="single" w:sz="4" w:space="0" w:color="auto"/>
            </w:tcBorders>
          </w:tcPr>
          <w:p w14:paraId="7BD72F19" w14:textId="19583EB9" w:rsidR="0058291F" w:rsidRPr="006C07CE" w:rsidRDefault="0058291F" w:rsidP="0058291F">
            <w:pPr>
              <w:pStyle w:val="NoSpacing"/>
              <w:rPr>
                <w:rFonts w:ascii="Arial" w:hAnsi="Arial" w:cs="Arial"/>
              </w:rPr>
            </w:pPr>
            <w:r w:rsidRPr="006C07CE">
              <w:rPr>
                <w:rFonts w:ascii="Arial" w:hAnsi="Arial" w:cs="Arial"/>
                <w:b/>
              </w:rPr>
              <w:t>Frequency</w:t>
            </w:r>
          </w:p>
        </w:tc>
        <w:tc>
          <w:tcPr>
            <w:tcW w:w="1418" w:type="dxa"/>
            <w:tcBorders>
              <w:top w:val="single" w:sz="4" w:space="0" w:color="auto"/>
              <w:left w:val="single" w:sz="4" w:space="0" w:color="auto"/>
              <w:bottom w:val="single" w:sz="4" w:space="0" w:color="auto"/>
              <w:right w:val="single" w:sz="4" w:space="0" w:color="auto"/>
            </w:tcBorders>
          </w:tcPr>
          <w:p w14:paraId="0936D18A" w14:textId="4B2E643B" w:rsidR="0058291F" w:rsidRPr="006C07CE" w:rsidRDefault="0058291F" w:rsidP="0058291F">
            <w:pPr>
              <w:pStyle w:val="NoSpacing"/>
              <w:rPr>
                <w:rFonts w:ascii="Arial" w:hAnsi="Arial" w:cs="Arial"/>
              </w:rPr>
            </w:pPr>
            <w:r w:rsidRPr="006C07CE">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tcPr>
          <w:p w14:paraId="17114D90" w14:textId="0F146DDF" w:rsidR="0058291F" w:rsidRPr="006C07CE" w:rsidRDefault="0058291F" w:rsidP="0058291F">
            <w:pPr>
              <w:pStyle w:val="NoSpacing"/>
              <w:rPr>
                <w:rFonts w:ascii="Arial" w:hAnsi="Arial" w:cs="Arial"/>
              </w:rPr>
            </w:pPr>
            <w:r w:rsidRPr="006C07CE">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D94A28" w14:textId="10EE3290" w:rsidR="0058291F" w:rsidRPr="006C07CE" w:rsidRDefault="0058291F" w:rsidP="0058291F">
            <w:pPr>
              <w:pStyle w:val="NoSpacing"/>
              <w:jc w:val="center"/>
              <w:rPr>
                <w:rFonts w:ascii="Arial" w:hAnsi="Arial" w:cs="Arial"/>
              </w:rPr>
            </w:pPr>
            <w:r w:rsidRPr="006C07CE">
              <w:rPr>
                <w:rFonts w:ascii="Arial" w:hAnsi="Arial" w:cs="Arial"/>
                <w:b/>
              </w:rPr>
              <w:t>2019/20 Outturn</w:t>
            </w:r>
          </w:p>
        </w:tc>
        <w:tc>
          <w:tcPr>
            <w:tcW w:w="1701" w:type="dxa"/>
            <w:tcBorders>
              <w:top w:val="single" w:sz="4" w:space="0" w:color="auto"/>
              <w:left w:val="single" w:sz="4" w:space="0" w:color="auto"/>
              <w:bottom w:val="single" w:sz="4" w:space="0" w:color="auto"/>
              <w:right w:val="single" w:sz="4" w:space="0" w:color="auto"/>
            </w:tcBorders>
          </w:tcPr>
          <w:p w14:paraId="63FEA6E3" w14:textId="7F4F189D" w:rsidR="0058291F" w:rsidRPr="006C07CE" w:rsidRDefault="0058291F" w:rsidP="0058291F">
            <w:pPr>
              <w:pStyle w:val="NoSpacing"/>
              <w:jc w:val="center"/>
              <w:rPr>
                <w:rFonts w:ascii="Arial" w:hAnsi="Arial" w:cs="Arial"/>
              </w:rPr>
            </w:pPr>
            <w:r w:rsidRPr="006C07CE">
              <w:rPr>
                <w:rFonts w:ascii="Arial" w:hAnsi="Arial" w:cs="Arial"/>
                <w:b/>
              </w:rPr>
              <w:t>2020/21 Quarter 1 (April –June)</w:t>
            </w:r>
          </w:p>
        </w:tc>
        <w:tc>
          <w:tcPr>
            <w:tcW w:w="1560" w:type="dxa"/>
            <w:tcBorders>
              <w:top w:val="single" w:sz="4" w:space="0" w:color="auto"/>
              <w:left w:val="single" w:sz="4" w:space="0" w:color="auto"/>
              <w:bottom w:val="single" w:sz="4" w:space="0" w:color="auto"/>
              <w:right w:val="single" w:sz="4" w:space="0" w:color="auto"/>
            </w:tcBorders>
          </w:tcPr>
          <w:p w14:paraId="3B5541CF" w14:textId="0DFB19A8" w:rsidR="0058291F" w:rsidRPr="006C07CE" w:rsidRDefault="0058291F" w:rsidP="0058291F">
            <w:pPr>
              <w:pStyle w:val="NoSpacing"/>
              <w:jc w:val="center"/>
              <w:rPr>
                <w:rFonts w:ascii="Arial" w:hAnsi="Arial" w:cs="Arial"/>
              </w:rPr>
            </w:pPr>
            <w:r w:rsidRPr="006C07CE">
              <w:rPr>
                <w:rFonts w:ascii="Arial" w:hAnsi="Arial" w:cs="Arial"/>
                <w:b/>
              </w:rPr>
              <w:t>Quarter 2 (July –September)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CA78E4" w14:textId="76522C16" w:rsidR="0058291F" w:rsidRPr="006C07CE" w:rsidRDefault="0058291F" w:rsidP="0058291F">
            <w:pPr>
              <w:pStyle w:val="NoSpacing"/>
              <w:jc w:val="center"/>
              <w:rPr>
                <w:rFonts w:ascii="Arial" w:hAnsi="Arial" w:cs="Arial"/>
              </w:rPr>
            </w:pPr>
            <w:r w:rsidRPr="006C07CE">
              <w:rPr>
                <w:rFonts w:ascii="Arial" w:hAnsi="Arial" w:cs="Arial"/>
                <w:b/>
              </w:rPr>
              <w:t>Quarter 3 (October - December)</w:t>
            </w:r>
          </w:p>
        </w:tc>
        <w:tc>
          <w:tcPr>
            <w:tcW w:w="1559" w:type="dxa"/>
            <w:tcBorders>
              <w:top w:val="single" w:sz="4" w:space="0" w:color="auto"/>
              <w:left w:val="single" w:sz="4" w:space="0" w:color="auto"/>
              <w:bottom w:val="single" w:sz="4" w:space="0" w:color="auto"/>
              <w:right w:val="single" w:sz="4" w:space="0" w:color="auto"/>
            </w:tcBorders>
          </w:tcPr>
          <w:p w14:paraId="36C77647" w14:textId="4297675B" w:rsidR="0058291F" w:rsidRPr="006C07CE" w:rsidRDefault="0058291F" w:rsidP="0058291F">
            <w:pPr>
              <w:pStyle w:val="NoSpacing"/>
              <w:jc w:val="center"/>
              <w:rPr>
                <w:rFonts w:ascii="Arial" w:hAnsi="Arial" w:cs="Arial"/>
                <w:b/>
              </w:rPr>
            </w:pPr>
            <w:r w:rsidRPr="006C07CE">
              <w:rPr>
                <w:rFonts w:ascii="Arial" w:hAnsi="Arial" w:cs="Arial"/>
                <w:b/>
              </w:rPr>
              <w:t>Quarter 4 (January - March)</w:t>
            </w:r>
          </w:p>
        </w:tc>
        <w:tc>
          <w:tcPr>
            <w:tcW w:w="1418" w:type="dxa"/>
            <w:tcBorders>
              <w:top w:val="single" w:sz="4" w:space="0" w:color="auto"/>
              <w:left w:val="single" w:sz="4" w:space="0" w:color="auto"/>
              <w:bottom w:val="single" w:sz="4" w:space="0" w:color="auto"/>
              <w:right w:val="single" w:sz="4" w:space="0" w:color="auto"/>
            </w:tcBorders>
          </w:tcPr>
          <w:p w14:paraId="028CA2BE" w14:textId="1D7E906D" w:rsidR="0058291F" w:rsidRPr="006C07CE" w:rsidRDefault="0058291F" w:rsidP="0058291F">
            <w:pPr>
              <w:pStyle w:val="NoSpacing"/>
              <w:jc w:val="center"/>
              <w:rPr>
                <w:rFonts w:ascii="Arial" w:hAnsi="Arial" w:cs="Arial"/>
              </w:rPr>
            </w:pPr>
            <w:r w:rsidRPr="006C07CE">
              <w:rPr>
                <w:rFonts w:ascii="Arial" w:hAnsi="Arial" w:cs="Arial"/>
                <w:b/>
              </w:rPr>
              <w:t>2020/21 Target</w:t>
            </w:r>
          </w:p>
        </w:tc>
      </w:tr>
      <w:tr w:rsidR="0058291F" w:rsidRPr="0080455B" w14:paraId="439AF7EC" w14:textId="77777777" w:rsidTr="00CE0C5D">
        <w:trPr>
          <w:trHeight w:val="69"/>
        </w:trPr>
        <w:tc>
          <w:tcPr>
            <w:tcW w:w="1985" w:type="dxa"/>
            <w:tcBorders>
              <w:top w:val="single" w:sz="4" w:space="0" w:color="auto"/>
              <w:left w:val="single" w:sz="4" w:space="0" w:color="auto"/>
              <w:bottom w:val="single" w:sz="4" w:space="0" w:color="auto"/>
              <w:right w:val="single" w:sz="4" w:space="0" w:color="auto"/>
            </w:tcBorders>
            <w:hideMark/>
          </w:tcPr>
          <w:p w14:paraId="4AB67C08" w14:textId="1F82C8AE" w:rsidR="0058291F" w:rsidRPr="0060756D" w:rsidRDefault="0058291F" w:rsidP="0058291F">
            <w:pPr>
              <w:pStyle w:val="NoSpacing"/>
              <w:rPr>
                <w:rFonts w:ascii="Arial" w:hAnsi="Arial" w:cs="Arial"/>
                <w:color w:val="000000"/>
              </w:rPr>
            </w:pPr>
            <w:r w:rsidRPr="0060756D">
              <w:rPr>
                <w:rFonts w:ascii="Arial" w:hAnsi="Arial" w:cs="Arial"/>
              </w:rPr>
              <w:t xml:space="preserve">Permanent admissions to residential and nursing care homes per 100,000 population aged 18-64 during the year </w:t>
            </w:r>
          </w:p>
        </w:tc>
        <w:tc>
          <w:tcPr>
            <w:tcW w:w="1417" w:type="dxa"/>
            <w:tcBorders>
              <w:top w:val="single" w:sz="4" w:space="0" w:color="auto"/>
              <w:left w:val="single" w:sz="4" w:space="0" w:color="auto"/>
              <w:bottom w:val="single" w:sz="4" w:space="0" w:color="auto"/>
              <w:right w:val="single" w:sz="4" w:space="0" w:color="auto"/>
            </w:tcBorders>
            <w:hideMark/>
          </w:tcPr>
          <w:p w14:paraId="21F2516A" w14:textId="77777777" w:rsidR="0058291F" w:rsidRDefault="0058291F" w:rsidP="0058291F">
            <w:pPr>
              <w:pStyle w:val="NoSpacing"/>
              <w:rPr>
                <w:rFonts w:ascii="Arial" w:hAnsi="Arial" w:cs="Arial"/>
              </w:rPr>
            </w:pPr>
          </w:p>
          <w:p w14:paraId="18EE0955" w14:textId="77777777" w:rsidR="0058291F" w:rsidRDefault="0058291F" w:rsidP="0058291F">
            <w:pPr>
              <w:pStyle w:val="NoSpacing"/>
              <w:rPr>
                <w:rFonts w:ascii="Arial" w:hAnsi="Arial" w:cs="Arial"/>
              </w:rPr>
            </w:pPr>
          </w:p>
          <w:p w14:paraId="55C121D0" w14:textId="3B391BD8" w:rsidR="0058291F" w:rsidRPr="0060756D" w:rsidRDefault="0058291F" w:rsidP="0058291F">
            <w:pPr>
              <w:pStyle w:val="NoSpacing"/>
              <w:rPr>
                <w:rFonts w:ascii="Arial" w:hAnsi="Arial" w:cs="Arial"/>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14:paraId="6D3AF968" w14:textId="77777777" w:rsidR="0058291F" w:rsidRPr="0060756D" w:rsidRDefault="0058291F" w:rsidP="0058291F">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0A7F0A9D" w14:textId="77777777" w:rsidR="0058291F" w:rsidRPr="0060756D" w:rsidRDefault="0058291F" w:rsidP="0058291F">
            <w:pPr>
              <w:pStyle w:val="NoSpacing"/>
              <w:rPr>
                <w:rFonts w:ascii="Arial" w:hAnsi="Arial" w:cs="Arial"/>
              </w:rPr>
            </w:pPr>
            <w:r w:rsidRPr="0060756D">
              <w:rPr>
                <w:rFonts w:ascii="Arial" w:hAnsi="Arial" w:cs="Arial"/>
              </w:rPr>
              <w:t>Low</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59E705" w14:textId="77777777" w:rsidR="0058291F" w:rsidRPr="0060756D" w:rsidRDefault="0058291F" w:rsidP="0058291F">
            <w:pPr>
              <w:pStyle w:val="NoSpacing"/>
              <w:jc w:val="center"/>
              <w:rPr>
                <w:rFonts w:ascii="Arial" w:hAnsi="Arial" w:cs="Arial"/>
              </w:rPr>
            </w:pPr>
            <w:r w:rsidRPr="0060756D">
              <w:rPr>
                <w:rFonts w:ascii="Arial" w:hAnsi="Arial" w:cs="Arial"/>
              </w:rPr>
              <w:t>15.2</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09549" w14:textId="77777777" w:rsidR="0058291F" w:rsidRPr="0060756D" w:rsidRDefault="0058291F" w:rsidP="0058291F">
            <w:pPr>
              <w:pStyle w:val="NoSpacing"/>
              <w:jc w:val="center"/>
              <w:rPr>
                <w:rFonts w:ascii="Arial" w:hAnsi="Arial" w:cs="Arial"/>
              </w:rPr>
            </w:pPr>
            <w:r>
              <w:rPr>
                <w:rFonts w:ascii="Arial" w:hAnsi="Arial" w:cs="Arial"/>
              </w:rPr>
              <w:t>13.8</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6C15FE" w14:textId="77777777" w:rsidR="0058291F" w:rsidRPr="0060756D" w:rsidRDefault="0058291F" w:rsidP="0058291F">
            <w:pPr>
              <w:pStyle w:val="NoSpacing"/>
              <w:jc w:val="center"/>
              <w:rPr>
                <w:rFonts w:ascii="Arial" w:hAnsi="Arial" w:cs="Arial"/>
              </w:rPr>
            </w:pPr>
            <w:r>
              <w:rPr>
                <w:rFonts w:ascii="Arial" w:hAnsi="Arial" w:cs="Arial"/>
              </w:rPr>
              <w:t>13.6</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949081" w14:textId="77777777" w:rsidR="0058291F" w:rsidRPr="0060756D" w:rsidRDefault="0058291F" w:rsidP="0058291F">
            <w:pPr>
              <w:pStyle w:val="NoSpacing"/>
              <w:jc w:val="center"/>
              <w:rPr>
                <w:rFonts w:ascii="Arial" w:hAnsi="Arial" w:cs="Arial"/>
              </w:rPr>
            </w:pPr>
            <w:r w:rsidRPr="0060756D">
              <w:rPr>
                <w:rFonts w:ascii="Arial" w:hAnsi="Arial" w:cs="Arial"/>
              </w:rPr>
              <w:t>12.02</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7681B4" w14:textId="516DAC5F" w:rsidR="0058291F" w:rsidRPr="0060756D" w:rsidRDefault="0058291F" w:rsidP="0058291F">
            <w:pPr>
              <w:pStyle w:val="NoSpacing"/>
              <w:jc w:val="center"/>
              <w:rPr>
                <w:rFonts w:ascii="Arial" w:hAnsi="Arial" w:cs="Arial"/>
              </w:rPr>
            </w:pPr>
            <w:r w:rsidRPr="00E9030C">
              <w:rPr>
                <w:rFonts w:ascii="Arial" w:hAnsi="Arial" w:cs="Arial"/>
              </w:rPr>
              <w:t>12.2</w:t>
            </w:r>
          </w:p>
        </w:tc>
        <w:tc>
          <w:tcPr>
            <w:tcW w:w="1418" w:type="dxa"/>
            <w:tcBorders>
              <w:top w:val="single" w:sz="4" w:space="0" w:color="auto"/>
              <w:left w:val="single" w:sz="4" w:space="0" w:color="auto"/>
              <w:bottom w:val="single" w:sz="4" w:space="0" w:color="auto"/>
              <w:right w:val="single" w:sz="4" w:space="0" w:color="auto"/>
            </w:tcBorders>
          </w:tcPr>
          <w:p w14:paraId="19789FE6" w14:textId="1D115F02" w:rsidR="0058291F" w:rsidRPr="0060756D" w:rsidRDefault="0058291F" w:rsidP="0058291F">
            <w:pPr>
              <w:pStyle w:val="NoSpacing"/>
              <w:jc w:val="center"/>
              <w:rPr>
                <w:rFonts w:ascii="Arial" w:hAnsi="Arial" w:cs="Arial"/>
              </w:rPr>
            </w:pPr>
            <w:r w:rsidRPr="0060756D">
              <w:rPr>
                <w:rFonts w:ascii="Arial" w:hAnsi="Arial" w:cs="Arial"/>
              </w:rPr>
              <w:t>13.6</w:t>
            </w:r>
          </w:p>
        </w:tc>
      </w:tr>
      <w:tr w:rsidR="0058291F" w:rsidRPr="0060756D" w14:paraId="248FE06A" w14:textId="77777777" w:rsidTr="00CE0C5D">
        <w:trPr>
          <w:trHeight w:val="1251"/>
        </w:trPr>
        <w:tc>
          <w:tcPr>
            <w:tcW w:w="1985" w:type="dxa"/>
            <w:tcBorders>
              <w:top w:val="single" w:sz="4" w:space="0" w:color="auto"/>
              <w:left w:val="single" w:sz="4" w:space="0" w:color="auto"/>
              <w:bottom w:val="single" w:sz="4" w:space="0" w:color="auto"/>
              <w:right w:val="single" w:sz="4" w:space="0" w:color="auto"/>
            </w:tcBorders>
            <w:hideMark/>
          </w:tcPr>
          <w:p w14:paraId="2B25E982" w14:textId="77777777" w:rsidR="0058291F" w:rsidRPr="0060756D" w:rsidRDefault="0058291F" w:rsidP="0058291F">
            <w:pPr>
              <w:pStyle w:val="NoSpacing"/>
              <w:rPr>
                <w:rFonts w:ascii="Arial" w:hAnsi="Arial" w:cs="Arial"/>
                <w:b/>
              </w:rPr>
            </w:pPr>
            <w:r w:rsidRPr="0060756D">
              <w:rPr>
                <w:rFonts w:ascii="Arial" w:hAnsi="Arial" w:cs="Arial"/>
              </w:rPr>
              <w:t>Permanent admissions to residential and nursing care homes per 100,000 population aged 65+ during the year</w:t>
            </w:r>
          </w:p>
        </w:tc>
        <w:tc>
          <w:tcPr>
            <w:tcW w:w="1417" w:type="dxa"/>
            <w:tcBorders>
              <w:top w:val="single" w:sz="4" w:space="0" w:color="auto"/>
              <w:left w:val="single" w:sz="4" w:space="0" w:color="auto"/>
              <w:bottom w:val="single" w:sz="4" w:space="0" w:color="auto"/>
              <w:right w:val="single" w:sz="4" w:space="0" w:color="auto"/>
            </w:tcBorders>
            <w:hideMark/>
          </w:tcPr>
          <w:p w14:paraId="687BF2B8" w14:textId="77777777" w:rsidR="0058291F" w:rsidRPr="0060756D" w:rsidRDefault="0058291F" w:rsidP="0058291F">
            <w:pPr>
              <w:pStyle w:val="NoSpacing"/>
              <w:rPr>
                <w:rFonts w:ascii="Arial" w:hAnsi="Arial" w:cs="Arial"/>
                <w:i/>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14:paraId="761B7C85" w14:textId="77777777" w:rsidR="0058291F" w:rsidRPr="0060756D" w:rsidRDefault="0058291F" w:rsidP="0058291F">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14:paraId="1784E7F0" w14:textId="77777777" w:rsidR="0058291F" w:rsidRPr="0060756D" w:rsidRDefault="0058291F" w:rsidP="0058291F">
            <w:pPr>
              <w:pStyle w:val="NoSpacing"/>
              <w:rPr>
                <w:rFonts w:ascii="Arial" w:hAnsi="Arial" w:cs="Arial"/>
              </w:rPr>
            </w:pPr>
            <w:r w:rsidRPr="0060756D">
              <w:rPr>
                <w:rFonts w:ascii="Arial" w:hAnsi="Arial" w:cs="Arial"/>
              </w:rPr>
              <w:t>Low</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2838BB4A" w14:textId="77777777" w:rsidR="0058291F" w:rsidRPr="0060756D" w:rsidRDefault="0058291F" w:rsidP="0058291F">
            <w:pPr>
              <w:pStyle w:val="NoSpacing"/>
              <w:jc w:val="center"/>
              <w:rPr>
                <w:rFonts w:ascii="Arial" w:hAnsi="Arial" w:cs="Arial"/>
              </w:rPr>
            </w:pPr>
            <w:r w:rsidRPr="0060756D">
              <w:rPr>
                <w:rFonts w:ascii="Arial" w:hAnsi="Arial" w:cs="Arial"/>
              </w:rPr>
              <w:t>672.6</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75BFCE" w14:textId="77777777" w:rsidR="0058291F" w:rsidRPr="0060756D" w:rsidRDefault="0058291F" w:rsidP="0058291F">
            <w:pPr>
              <w:pStyle w:val="NoSpacing"/>
              <w:jc w:val="center"/>
              <w:rPr>
                <w:rFonts w:ascii="Arial" w:hAnsi="Arial" w:cs="Arial"/>
              </w:rPr>
            </w:pPr>
            <w:r>
              <w:rPr>
                <w:rFonts w:ascii="Arial" w:hAnsi="Arial" w:cs="Arial"/>
              </w:rPr>
              <w:t>565.6</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4C04F8" w14:textId="77777777" w:rsidR="0058291F" w:rsidRPr="0060756D" w:rsidRDefault="0058291F" w:rsidP="0058291F">
            <w:pPr>
              <w:pStyle w:val="NoSpacing"/>
              <w:jc w:val="center"/>
              <w:rPr>
                <w:rFonts w:ascii="Arial" w:hAnsi="Arial" w:cs="Arial"/>
              </w:rPr>
            </w:pPr>
            <w:r>
              <w:rPr>
                <w:rFonts w:ascii="Arial" w:hAnsi="Arial" w:cs="Arial"/>
              </w:rPr>
              <w:t>500.3</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6794B5" w14:textId="77777777" w:rsidR="0058291F" w:rsidRPr="0060756D" w:rsidRDefault="0058291F" w:rsidP="0058291F">
            <w:pPr>
              <w:pStyle w:val="NoSpacing"/>
              <w:jc w:val="center"/>
              <w:rPr>
                <w:rFonts w:ascii="Arial" w:hAnsi="Arial" w:cs="Arial"/>
                <w:color w:val="FFFFFF" w:themeColor="background1"/>
              </w:rPr>
            </w:pPr>
            <w:r w:rsidRPr="0060756D">
              <w:rPr>
                <w:rFonts w:ascii="Arial" w:hAnsi="Arial" w:cs="Arial"/>
              </w:rPr>
              <w:t>453.3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0AAEE4" w14:textId="37E80EDB" w:rsidR="0058291F" w:rsidRPr="0060756D" w:rsidRDefault="0058291F" w:rsidP="0058291F">
            <w:pPr>
              <w:pStyle w:val="NoSpacing"/>
              <w:jc w:val="center"/>
              <w:rPr>
                <w:rFonts w:ascii="Arial" w:hAnsi="Arial" w:cs="Arial"/>
              </w:rPr>
            </w:pPr>
            <w:r w:rsidRPr="00E9030C">
              <w:rPr>
                <w:rFonts w:ascii="Arial" w:hAnsi="Arial" w:cs="Arial"/>
              </w:rPr>
              <w:t>482.2</w:t>
            </w:r>
          </w:p>
        </w:tc>
        <w:tc>
          <w:tcPr>
            <w:tcW w:w="1418" w:type="dxa"/>
            <w:tcBorders>
              <w:top w:val="single" w:sz="4" w:space="0" w:color="auto"/>
              <w:left w:val="single" w:sz="4" w:space="0" w:color="auto"/>
              <w:bottom w:val="single" w:sz="4" w:space="0" w:color="auto"/>
              <w:right w:val="single" w:sz="4" w:space="0" w:color="auto"/>
            </w:tcBorders>
          </w:tcPr>
          <w:p w14:paraId="32C0ABE9" w14:textId="635AB626" w:rsidR="0058291F" w:rsidRPr="0060756D" w:rsidRDefault="0058291F" w:rsidP="0058291F">
            <w:pPr>
              <w:pStyle w:val="NoSpacing"/>
              <w:jc w:val="center"/>
              <w:rPr>
                <w:rFonts w:ascii="Arial" w:hAnsi="Arial" w:cs="Arial"/>
              </w:rPr>
            </w:pPr>
            <w:r w:rsidRPr="0060756D">
              <w:rPr>
                <w:rFonts w:ascii="Arial" w:hAnsi="Arial" w:cs="Arial"/>
              </w:rPr>
              <w:t>600-680</w:t>
            </w:r>
          </w:p>
        </w:tc>
      </w:tr>
    </w:tbl>
    <w:p w14:paraId="3EA10305" w14:textId="77777777" w:rsidR="00F044C2" w:rsidRPr="0060756D" w:rsidRDefault="00F044C2" w:rsidP="00F044C2">
      <w:pPr>
        <w:pStyle w:val="NoSpacing"/>
        <w:jc w:val="both"/>
        <w:rPr>
          <w:rFonts w:ascii="Arial" w:hAnsi="Arial" w:cs="Helvetica-Light"/>
          <w:color w:val="000000"/>
          <w:sz w:val="24"/>
          <w:szCs w:val="24"/>
          <w:lang w:eastAsia="en-GB"/>
        </w:rPr>
      </w:pPr>
    </w:p>
    <w:p w14:paraId="2A10A7AC" w14:textId="53C1989F" w:rsidR="007F7C74" w:rsidRPr="00EB5DEB" w:rsidRDefault="007F7C74" w:rsidP="007F7C74">
      <w:pPr>
        <w:pStyle w:val="NoSpacing"/>
        <w:jc w:val="both"/>
        <w:rPr>
          <w:rFonts w:ascii="Arial" w:hAnsi="Arial" w:cs="Arial"/>
        </w:rPr>
      </w:pPr>
      <w:r w:rsidRPr="00EB5DEB">
        <w:rPr>
          <w:rFonts w:ascii="Arial" w:hAnsi="Arial" w:cs="Arial"/>
          <w:b/>
        </w:rPr>
        <w:t>Percentage of older people (65 and over) who were still at home 91 days after discharge from hospital into reablement/rehabilitation services</w:t>
      </w:r>
      <w:r w:rsidRPr="00EB5DEB">
        <w:rPr>
          <w:rFonts w:ascii="Arial" w:hAnsi="Arial" w:cs="Arial"/>
        </w:rPr>
        <w:t xml:space="preserve">. The number of </w:t>
      </w:r>
      <w:r w:rsidR="00EA7743">
        <w:rPr>
          <w:rFonts w:ascii="Arial" w:hAnsi="Arial" w:cs="Arial"/>
        </w:rPr>
        <w:t>older people</w:t>
      </w:r>
      <w:r w:rsidRPr="00EB5DEB">
        <w:rPr>
          <w:rFonts w:ascii="Arial" w:hAnsi="Arial" w:cs="Arial"/>
        </w:rPr>
        <w:t xml:space="preserve"> who are still at home 91 days after discharge is currently at 81.6%, although this is still below the identified target, and has declined throughout the year, </w:t>
      </w:r>
      <w:r>
        <w:rPr>
          <w:rFonts w:ascii="Arial" w:hAnsi="Arial" w:cs="Arial"/>
        </w:rPr>
        <w:t xml:space="preserve">it </w:t>
      </w:r>
      <w:r w:rsidRPr="00EB5DEB">
        <w:rPr>
          <w:rFonts w:ascii="Arial" w:hAnsi="Arial" w:cs="Arial"/>
        </w:rPr>
        <w:t>is</w:t>
      </w:r>
      <w:r>
        <w:rPr>
          <w:rFonts w:ascii="Arial" w:hAnsi="Arial" w:cs="Arial"/>
        </w:rPr>
        <w:t xml:space="preserve"> still</w:t>
      </w:r>
      <w:r w:rsidRPr="00EB5DEB">
        <w:rPr>
          <w:rFonts w:ascii="Arial" w:hAnsi="Arial" w:cs="Arial"/>
        </w:rPr>
        <w:t xml:space="preserve"> performing in-line with the national average.</w:t>
      </w:r>
    </w:p>
    <w:p w14:paraId="5BFD4A20" w14:textId="77777777" w:rsidR="007F7C74" w:rsidRPr="00EB5DEB" w:rsidRDefault="007F7C74" w:rsidP="007F7C74">
      <w:pPr>
        <w:pStyle w:val="NoSpacing"/>
        <w:jc w:val="both"/>
        <w:rPr>
          <w:rFonts w:ascii="Arial" w:hAnsi="Arial" w:cs="Arial"/>
        </w:rPr>
      </w:pPr>
      <w:r w:rsidRPr="00EB5DEB">
        <w:rPr>
          <w:rFonts w:ascii="Arial" w:hAnsi="Arial" w:cs="Arial"/>
        </w:rPr>
        <w:t>As a council we have significant working relationships with 5 main hospital trusts spread over 8 sites and those arrangements continued throughout the last year including the hospital discharge arrangements</w:t>
      </w:r>
      <w:r>
        <w:rPr>
          <w:rFonts w:ascii="Arial" w:hAnsi="Arial" w:cs="Arial"/>
        </w:rPr>
        <w:t xml:space="preserve"> during the pandemic</w:t>
      </w:r>
      <w:r w:rsidRPr="00EB5DEB">
        <w:rPr>
          <w:rFonts w:ascii="Arial" w:hAnsi="Arial" w:cs="Arial"/>
        </w:rPr>
        <w:t xml:space="preserve">.  Ease and timeliness of data capture varied between hospitals and there were often considerable time lags between discharges organised by the NHS occurring and the data being shared with the council to enable assessments to occur. </w:t>
      </w:r>
    </w:p>
    <w:p w14:paraId="1F1182E5" w14:textId="77777777" w:rsidR="007F7C74" w:rsidRPr="00E835BD" w:rsidRDefault="007F7C74" w:rsidP="007F7C74">
      <w:pPr>
        <w:pStyle w:val="NoSpacing"/>
        <w:rPr>
          <w:rFonts w:ascii="Arial" w:hAnsi="Arial" w:cs="Arial"/>
          <w:highlight w:val="yellow"/>
        </w:rPr>
      </w:pPr>
    </w:p>
    <w:p w14:paraId="7DD759CA" w14:textId="77777777" w:rsidR="007F7C74" w:rsidRPr="00B03814" w:rsidRDefault="007F7C74" w:rsidP="007F7C74">
      <w:r w:rsidRPr="006C07CE">
        <w:rPr>
          <w:rFonts w:cs="Arial"/>
          <w:b/>
          <w:sz w:val="22"/>
          <w:szCs w:val="22"/>
        </w:rPr>
        <w:t>Proportion of adults with learning disabilities who live in their own home</w:t>
      </w:r>
      <w:r>
        <w:rPr>
          <w:rFonts w:cs="Arial"/>
        </w:rPr>
        <w:t xml:space="preserve">. </w:t>
      </w:r>
      <w:r w:rsidRPr="00B03814">
        <w:rPr>
          <w:rFonts w:cs="Arial"/>
        </w:rPr>
        <w:t xml:space="preserve"> C</w:t>
      </w:r>
      <w:r w:rsidRPr="00B03814">
        <w:rPr>
          <w:rFonts w:cs="Arial"/>
          <w:sz w:val="22"/>
          <w:szCs w:val="22"/>
        </w:rPr>
        <w:t>urrent performance is above the national average of 77.3%, and is also above our outturn of 2019/20, although we are still below ou</w:t>
      </w:r>
      <w:r>
        <w:rPr>
          <w:rFonts w:cs="Arial"/>
          <w:sz w:val="22"/>
          <w:szCs w:val="22"/>
        </w:rPr>
        <w:t>r</w:t>
      </w:r>
      <w:r w:rsidRPr="00B03814">
        <w:rPr>
          <w:rFonts w:cs="Arial"/>
          <w:sz w:val="22"/>
          <w:szCs w:val="22"/>
        </w:rPr>
        <w:t xml:space="preserve"> own desired target, progress is being made in reaching this.  </w:t>
      </w:r>
    </w:p>
    <w:p w14:paraId="499C88FA" w14:textId="77777777" w:rsidR="007F7C74" w:rsidRPr="00E835BD" w:rsidRDefault="007F7C74" w:rsidP="007F7C74">
      <w:pPr>
        <w:pStyle w:val="NoSpacing"/>
        <w:rPr>
          <w:rFonts w:ascii="Arial" w:hAnsi="Arial" w:cs="Arial"/>
          <w:highlight w:val="yellow"/>
        </w:rPr>
      </w:pPr>
    </w:p>
    <w:p w14:paraId="153FBC8F" w14:textId="13FE49E3" w:rsidR="007F7C74" w:rsidRPr="00B03814" w:rsidRDefault="007F7C74" w:rsidP="007F7C74">
      <w:pPr>
        <w:pStyle w:val="NoSpacing"/>
        <w:jc w:val="both"/>
        <w:rPr>
          <w:rFonts w:ascii="Arial" w:hAnsi="Arial" w:cs="Arial"/>
        </w:rPr>
      </w:pPr>
      <w:r w:rsidRPr="00B03814">
        <w:rPr>
          <w:rFonts w:ascii="Arial" w:hAnsi="Arial" w:cs="Arial"/>
          <w:b/>
        </w:rPr>
        <w:lastRenderedPageBreak/>
        <w:t>Proportion of adults and older people receiving long term services who are supported in the community</w:t>
      </w:r>
      <w:r>
        <w:rPr>
          <w:rFonts w:ascii="Arial" w:hAnsi="Arial" w:cs="Arial"/>
        </w:rPr>
        <w:t>.</w:t>
      </w:r>
      <w:r w:rsidRPr="00B03814">
        <w:rPr>
          <w:rFonts w:ascii="Arial" w:hAnsi="Arial" w:cs="Arial"/>
        </w:rPr>
        <w:t xml:space="preserve"> </w:t>
      </w:r>
      <w:r w:rsidR="00EA7743">
        <w:rPr>
          <w:rFonts w:ascii="Arial" w:hAnsi="Arial" w:cs="Arial"/>
        </w:rPr>
        <w:t>The proportion of people receiving long term services supported in the community continued to rise steadily throughout the year. The pandemic reduced the number of people admitted to residential care, referred to in more detail below, which inevitably increased the proportion being supported in the community.</w:t>
      </w:r>
    </w:p>
    <w:p w14:paraId="49317657" w14:textId="77777777" w:rsidR="007F7C74" w:rsidRPr="00E835BD" w:rsidRDefault="007F7C74" w:rsidP="007F7C74">
      <w:pPr>
        <w:pStyle w:val="NoSpacing"/>
        <w:rPr>
          <w:rFonts w:ascii="Arial" w:hAnsi="Arial" w:cs="Arial"/>
          <w:highlight w:val="yellow"/>
        </w:rPr>
      </w:pPr>
    </w:p>
    <w:p w14:paraId="0995D0E2" w14:textId="77777777" w:rsidR="007F7C74" w:rsidRDefault="007F7C74" w:rsidP="007F7C74">
      <w:pPr>
        <w:pStyle w:val="NoSpacing"/>
        <w:jc w:val="both"/>
        <w:rPr>
          <w:rFonts w:ascii="Arial" w:hAnsi="Arial" w:cs="Arial"/>
        </w:rPr>
      </w:pPr>
      <w:r w:rsidRPr="00EB5DEB">
        <w:rPr>
          <w:rFonts w:ascii="Arial" w:hAnsi="Arial" w:cs="Arial"/>
          <w:b/>
        </w:rPr>
        <w:t>Permanent admissions to residential and nursing care homes per 100,000 population aged 18-64 during the year</w:t>
      </w:r>
      <w:r>
        <w:rPr>
          <w:rFonts w:ascii="Arial" w:hAnsi="Arial" w:cs="Arial"/>
        </w:rPr>
        <w:t xml:space="preserve">. </w:t>
      </w:r>
      <w:r w:rsidRPr="00EB5DEB">
        <w:rPr>
          <w:rFonts w:ascii="Arial" w:hAnsi="Arial" w:cs="Arial"/>
        </w:rPr>
        <w:t xml:space="preserve"> The trend has continued to reduce and at 12.2 this has significantly improved our position and places us below the planned target of 13.6, and the current England average of 14.6.  This continues to be monitored to understand the impact that the pandemic has on this performance measure. </w:t>
      </w:r>
    </w:p>
    <w:p w14:paraId="537B2972" w14:textId="77777777" w:rsidR="007F7C74" w:rsidRDefault="007F7C74" w:rsidP="007F7C74">
      <w:pPr>
        <w:pStyle w:val="NoSpacing"/>
        <w:jc w:val="both"/>
        <w:rPr>
          <w:rFonts w:ascii="Arial" w:hAnsi="Arial" w:cs="Arial"/>
        </w:rPr>
      </w:pPr>
    </w:p>
    <w:p w14:paraId="36F1CEDC" w14:textId="77777777" w:rsidR="007F7C74" w:rsidRDefault="007F7C74" w:rsidP="007F7C74">
      <w:pPr>
        <w:pStyle w:val="NoSpacing"/>
        <w:rPr>
          <w:rFonts w:ascii="Arial" w:hAnsi="Arial" w:cs="Arial"/>
        </w:rPr>
      </w:pPr>
      <w:r w:rsidRPr="00EB5DEB">
        <w:rPr>
          <w:rFonts w:ascii="Arial" w:hAnsi="Arial" w:cs="Arial"/>
          <w:b/>
        </w:rPr>
        <w:t>Permanent admissions to residential and nursing care homes per 100,000 population aged 65+ during the year</w:t>
      </w:r>
      <w:r>
        <w:rPr>
          <w:rFonts w:ascii="Arial" w:hAnsi="Arial" w:cs="Arial"/>
        </w:rPr>
        <w:t xml:space="preserve">.  </w:t>
      </w:r>
      <w:r w:rsidRPr="00EB5DEB">
        <w:rPr>
          <w:rFonts w:ascii="Arial" w:hAnsi="Arial" w:cs="Arial"/>
        </w:rPr>
        <w:t xml:space="preserve">The current 2020/21 position shows a significant improvement in performance, which has been improving throughout the year since 2019/20.  We are now reporting below the England average of 584, and significantly under the planned target of 600-680.  </w:t>
      </w:r>
      <w:r>
        <w:rPr>
          <w:rFonts w:ascii="Arial" w:hAnsi="Arial" w:cs="Arial"/>
        </w:rPr>
        <w:t xml:space="preserve">Due to our on-going improvement programme we ensure that admissions to residential care are for those who absolutely need it. </w:t>
      </w:r>
    </w:p>
    <w:p w14:paraId="75999C98" w14:textId="77777777" w:rsidR="007F7C74" w:rsidRDefault="007F7C74" w:rsidP="007F7C74">
      <w:pPr>
        <w:pStyle w:val="NoSpacing"/>
        <w:rPr>
          <w:rFonts w:ascii="Arial" w:hAnsi="Arial" w:cs="Arial"/>
        </w:rPr>
      </w:pPr>
    </w:p>
    <w:p w14:paraId="211968C9" w14:textId="77777777" w:rsidR="007F7C74" w:rsidRPr="00A76FC4" w:rsidRDefault="007F7C74" w:rsidP="007F7C74">
      <w:pPr>
        <w:pStyle w:val="NoSpacing"/>
        <w:rPr>
          <w:rFonts w:ascii="Arial" w:hAnsi="Arial" w:cs="Arial"/>
        </w:rPr>
      </w:pPr>
      <w:r>
        <w:rPr>
          <w:rFonts w:ascii="Arial" w:hAnsi="Arial" w:cs="Arial"/>
        </w:rPr>
        <w:t>Admissions to residential and nursing homes across all age groups will continue to be monitored, as we quantify the impact that the pandemic has had on admissions, as many families have not been content in considering care/residential homes for loved ones due to the significant restrictions on family contact.</w:t>
      </w:r>
    </w:p>
    <w:p w14:paraId="1AE21412" w14:textId="0632BFC7" w:rsidR="00BE5A3C" w:rsidRDefault="00BE5A3C" w:rsidP="00425002">
      <w:pPr>
        <w:rPr>
          <w:sz w:val="22"/>
          <w:szCs w:val="22"/>
        </w:rPr>
      </w:pPr>
    </w:p>
    <w:tbl>
      <w:tblPr>
        <w:tblW w:w="15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851"/>
        <w:gridCol w:w="1276"/>
        <w:gridCol w:w="1701"/>
        <w:gridCol w:w="1842"/>
        <w:gridCol w:w="1843"/>
        <w:gridCol w:w="1918"/>
        <w:gridCol w:w="1067"/>
      </w:tblGrid>
      <w:tr w:rsidR="0058291F" w:rsidRPr="00FA30B2" w14:paraId="0AB5E897" w14:textId="77777777" w:rsidTr="006C07CE">
        <w:trPr>
          <w:trHeight w:val="550"/>
        </w:trPr>
        <w:tc>
          <w:tcPr>
            <w:tcW w:w="1701" w:type="dxa"/>
            <w:tcBorders>
              <w:top w:val="single" w:sz="4" w:space="0" w:color="auto"/>
              <w:left w:val="single" w:sz="4" w:space="0" w:color="auto"/>
              <w:bottom w:val="single" w:sz="4" w:space="0" w:color="auto"/>
              <w:right w:val="single" w:sz="4" w:space="0" w:color="auto"/>
            </w:tcBorders>
            <w:hideMark/>
          </w:tcPr>
          <w:p w14:paraId="2D61DB56" w14:textId="536CA338" w:rsidR="0058291F" w:rsidRPr="006C07CE" w:rsidRDefault="0058291F" w:rsidP="0058291F">
            <w:pPr>
              <w:pStyle w:val="NoSpacing"/>
              <w:rPr>
                <w:rFonts w:ascii="Arial" w:hAnsi="Arial" w:cs="Arial"/>
                <w:b/>
              </w:rPr>
            </w:pPr>
            <w:r w:rsidRPr="006C07CE">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14:paraId="1E283DFF" w14:textId="6A632097" w:rsidR="0058291F" w:rsidRPr="006C07CE" w:rsidRDefault="0058291F" w:rsidP="0058291F">
            <w:pPr>
              <w:pStyle w:val="NoSpacing"/>
              <w:rPr>
                <w:rFonts w:ascii="Arial" w:hAnsi="Arial" w:cs="Arial"/>
                <w:b/>
              </w:rPr>
            </w:pPr>
            <w:r w:rsidRPr="006C07CE">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14:paraId="08DF2B9E" w14:textId="53A0590E" w:rsidR="0058291F" w:rsidRPr="006C07CE" w:rsidRDefault="0058291F" w:rsidP="0058291F">
            <w:pPr>
              <w:pStyle w:val="NoSpacing"/>
              <w:rPr>
                <w:rFonts w:ascii="Arial" w:hAnsi="Arial" w:cs="Arial"/>
                <w:b/>
              </w:rPr>
            </w:pPr>
            <w:r w:rsidRPr="006C07CE">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14:paraId="749906EA" w14:textId="1CEAF552" w:rsidR="0058291F" w:rsidRPr="006C07CE" w:rsidRDefault="0058291F" w:rsidP="0058291F">
            <w:pPr>
              <w:pStyle w:val="NoSpacing"/>
              <w:rPr>
                <w:rFonts w:ascii="Arial" w:hAnsi="Arial" w:cs="Arial"/>
                <w:b/>
              </w:rPr>
            </w:pPr>
            <w:r w:rsidRPr="006C07CE">
              <w:rPr>
                <w:rFonts w:ascii="Arial" w:hAnsi="Arial" w:cs="Arial"/>
                <w:b/>
              </w:rPr>
              <w:t>Good 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B39E4" w14:textId="1E790F5C" w:rsidR="0058291F" w:rsidRPr="006C07CE" w:rsidRDefault="0058291F" w:rsidP="0058291F">
            <w:pPr>
              <w:pStyle w:val="NoSpacing"/>
              <w:rPr>
                <w:rFonts w:ascii="Arial" w:hAnsi="Arial" w:cs="Arial"/>
                <w:b/>
              </w:rPr>
            </w:pPr>
            <w:r w:rsidRPr="006C07CE">
              <w:rPr>
                <w:rFonts w:ascii="Arial" w:hAnsi="Arial" w:cs="Arial"/>
                <w:b/>
              </w:rPr>
              <w:t>2019/20 Outturn</w:t>
            </w:r>
          </w:p>
        </w:tc>
        <w:tc>
          <w:tcPr>
            <w:tcW w:w="1701" w:type="dxa"/>
            <w:tcBorders>
              <w:top w:val="single" w:sz="4" w:space="0" w:color="auto"/>
              <w:left w:val="single" w:sz="4" w:space="0" w:color="auto"/>
              <w:bottom w:val="single" w:sz="4" w:space="0" w:color="auto"/>
              <w:right w:val="single" w:sz="4" w:space="0" w:color="auto"/>
            </w:tcBorders>
          </w:tcPr>
          <w:p w14:paraId="0F8433DD" w14:textId="64DF67FA" w:rsidR="0058291F" w:rsidRPr="006C07CE" w:rsidRDefault="0058291F" w:rsidP="0058291F">
            <w:pPr>
              <w:pStyle w:val="NoSpacing"/>
              <w:rPr>
                <w:rFonts w:ascii="Arial" w:hAnsi="Arial" w:cs="Arial"/>
                <w:b/>
              </w:rPr>
            </w:pPr>
            <w:r w:rsidRPr="006C07CE">
              <w:rPr>
                <w:rFonts w:ascii="Arial" w:hAnsi="Arial" w:cs="Arial"/>
                <w:b/>
              </w:rPr>
              <w:t>2020/21 Quarter 1 (April –June)</w:t>
            </w:r>
          </w:p>
        </w:tc>
        <w:tc>
          <w:tcPr>
            <w:tcW w:w="1842" w:type="dxa"/>
            <w:tcBorders>
              <w:top w:val="single" w:sz="4" w:space="0" w:color="auto"/>
              <w:left w:val="single" w:sz="4" w:space="0" w:color="auto"/>
              <w:bottom w:val="single" w:sz="4" w:space="0" w:color="auto"/>
              <w:right w:val="single" w:sz="4" w:space="0" w:color="auto"/>
            </w:tcBorders>
          </w:tcPr>
          <w:p w14:paraId="1CD8B579" w14:textId="7DCC3705" w:rsidR="0058291F" w:rsidRPr="006C07CE" w:rsidRDefault="0058291F" w:rsidP="0058291F">
            <w:pPr>
              <w:pStyle w:val="NoSpacing"/>
              <w:rPr>
                <w:rFonts w:ascii="Arial" w:hAnsi="Arial" w:cs="Arial"/>
                <w:b/>
              </w:rPr>
            </w:pPr>
            <w:r w:rsidRPr="006C07CE">
              <w:rPr>
                <w:rFonts w:ascii="Arial" w:hAnsi="Arial" w:cs="Arial"/>
                <w:b/>
              </w:rPr>
              <w:t>Quarter 2 (July –September)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B6AE09" w14:textId="1A82FF82" w:rsidR="0058291F" w:rsidRPr="006C07CE" w:rsidRDefault="0058291F" w:rsidP="0058291F">
            <w:pPr>
              <w:pStyle w:val="NoSpacing"/>
              <w:rPr>
                <w:rFonts w:ascii="Arial" w:hAnsi="Arial" w:cs="Arial"/>
                <w:b/>
              </w:rPr>
            </w:pPr>
            <w:r w:rsidRPr="006C07CE">
              <w:rPr>
                <w:rFonts w:ascii="Arial" w:hAnsi="Arial" w:cs="Arial"/>
                <w:b/>
              </w:rPr>
              <w:t>Quarter 3 (October - December)</w:t>
            </w:r>
          </w:p>
        </w:tc>
        <w:tc>
          <w:tcPr>
            <w:tcW w:w="1918" w:type="dxa"/>
            <w:tcBorders>
              <w:top w:val="single" w:sz="4" w:space="0" w:color="auto"/>
              <w:left w:val="single" w:sz="4" w:space="0" w:color="auto"/>
              <w:bottom w:val="single" w:sz="4" w:space="0" w:color="auto"/>
              <w:right w:val="single" w:sz="4" w:space="0" w:color="auto"/>
            </w:tcBorders>
          </w:tcPr>
          <w:p w14:paraId="089B42A6" w14:textId="0D5283A7" w:rsidR="0058291F" w:rsidRPr="006C07CE" w:rsidRDefault="0058291F" w:rsidP="0058291F">
            <w:pPr>
              <w:pStyle w:val="NoSpacing"/>
              <w:rPr>
                <w:rFonts w:ascii="Arial" w:hAnsi="Arial" w:cs="Arial"/>
                <w:b/>
              </w:rPr>
            </w:pPr>
            <w:r w:rsidRPr="006C07CE">
              <w:rPr>
                <w:rFonts w:ascii="Arial" w:hAnsi="Arial" w:cs="Arial"/>
                <w:b/>
              </w:rPr>
              <w:t>Quarter 4 (January - March)</w:t>
            </w:r>
          </w:p>
        </w:tc>
        <w:tc>
          <w:tcPr>
            <w:tcW w:w="1067" w:type="dxa"/>
            <w:tcBorders>
              <w:top w:val="single" w:sz="4" w:space="0" w:color="auto"/>
              <w:left w:val="single" w:sz="4" w:space="0" w:color="auto"/>
              <w:bottom w:val="single" w:sz="4" w:space="0" w:color="auto"/>
              <w:right w:val="single" w:sz="4" w:space="0" w:color="auto"/>
            </w:tcBorders>
          </w:tcPr>
          <w:p w14:paraId="3B3F6942" w14:textId="35F6AA99" w:rsidR="0058291F" w:rsidRPr="006C07CE" w:rsidRDefault="0058291F" w:rsidP="0058291F">
            <w:pPr>
              <w:pStyle w:val="NoSpacing"/>
              <w:rPr>
                <w:rFonts w:ascii="Arial" w:hAnsi="Arial" w:cs="Arial"/>
                <w:b/>
              </w:rPr>
            </w:pPr>
            <w:r w:rsidRPr="006C07CE">
              <w:rPr>
                <w:rFonts w:ascii="Arial" w:hAnsi="Arial" w:cs="Arial"/>
                <w:b/>
              </w:rPr>
              <w:t>2020/21 Target</w:t>
            </w:r>
          </w:p>
        </w:tc>
      </w:tr>
      <w:tr w:rsidR="0058291F" w:rsidRPr="00FA30B2" w14:paraId="398DE871" w14:textId="77777777" w:rsidTr="006C07CE">
        <w:trPr>
          <w:trHeight w:val="852"/>
        </w:trPr>
        <w:tc>
          <w:tcPr>
            <w:tcW w:w="1701" w:type="dxa"/>
            <w:tcBorders>
              <w:top w:val="single" w:sz="4" w:space="0" w:color="auto"/>
              <w:left w:val="single" w:sz="4" w:space="0" w:color="auto"/>
              <w:bottom w:val="single" w:sz="4" w:space="0" w:color="auto"/>
              <w:right w:val="single" w:sz="4" w:space="0" w:color="auto"/>
            </w:tcBorders>
            <w:hideMark/>
          </w:tcPr>
          <w:p w14:paraId="7FA893A3" w14:textId="77777777" w:rsidR="0058291F" w:rsidRPr="00F044C2" w:rsidRDefault="0058291F" w:rsidP="0058291F">
            <w:pPr>
              <w:pStyle w:val="NoSpacing"/>
              <w:rPr>
                <w:rFonts w:ascii="Arial" w:hAnsi="Arial" w:cs="Arial"/>
              </w:rPr>
            </w:pPr>
            <w:r w:rsidRPr="00F044C2">
              <w:rPr>
                <w:rFonts w:ascii="Arial" w:hAnsi="Arial" w:cs="Arial"/>
              </w:rPr>
              <w:t>Number of working days per full time equivalent lost to sickness absence</w:t>
            </w:r>
          </w:p>
          <w:p w14:paraId="0134C98F" w14:textId="77777777" w:rsidR="0058291F" w:rsidRPr="00F044C2" w:rsidRDefault="0058291F" w:rsidP="0058291F">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14:paraId="61251171" w14:textId="77777777" w:rsidR="0058291F" w:rsidRPr="00F044C2" w:rsidRDefault="0058291F" w:rsidP="0058291F">
            <w:pPr>
              <w:pStyle w:val="NoSpacing"/>
              <w:rPr>
                <w:rFonts w:ascii="Arial" w:hAnsi="Arial" w:cs="Arial"/>
              </w:rPr>
            </w:pPr>
            <w:r w:rsidRPr="00F044C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14:paraId="661B197B" w14:textId="77777777" w:rsidR="0058291F" w:rsidRPr="00F044C2" w:rsidRDefault="0058291F" w:rsidP="0058291F">
            <w:pPr>
              <w:pStyle w:val="NoSpacing"/>
              <w:rPr>
                <w:rFonts w:ascii="Arial" w:hAnsi="Arial" w:cs="Arial"/>
              </w:rPr>
            </w:pPr>
            <w:r w:rsidRPr="00F044C2">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14:paraId="38AD6B89" w14:textId="77777777" w:rsidR="0058291F" w:rsidRPr="00F044C2" w:rsidRDefault="0058291F" w:rsidP="0058291F">
            <w:pPr>
              <w:pStyle w:val="NoSpacing"/>
              <w:rPr>
                <w:rFonts w:ascii="Arial" w:hAnsi="Arial" w:cs="Arial"/>
              </w:rPr>
            </w:pPr>
            <w:r w:rsidRPr="00F044C2">
              <w:rPr>
                <w:rFonts w:ascii="Arial" w:hAnsi="Arial" w:cs="Arial"/>
              </w:rPr>
              <w:t>Low</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6F4CBC6" w14:textId="77777777" w:rsidR="0058291F" w:rsidRPr="001C09B2" w:rsidRDefault="0058291F" w:rsidP="0058291F">
            <w:pPr>
              <w:pStyle w:val="NoSpacing"/>
              <w:jc w:val="center"/>
              <w:rPr>
                <w:rFonts w:ascii="Arial" w:hAnsi="Arial" w:cs="Arial"/>
              </w:rPr>
            </w:pPr>
            <w:r w:rsidRPr="001C09B2">
              <w:rPr>
                <w:rFonts w:ascii="Arial" w:hAnsi="Arial" w:cs="Arial"/>
              </w:rPr>
              <w:t>Apr 2019 to March 2019</w:t>
            </w:r>
          </w:p>
          <w:p w14:paraId="466842A4" w14:textId="083A56C1" w:rsidR="0058291F" w:rsidRPr="00F044C2" w:rsidRDefault="0058291F" w:rsidP="0058291F">
            <w:pPr>
              <w:pStyle w:val="NoSpacing"/>
              <w:jc w:val="center"/>
              <w:rPr>
                <w:rFonts w:ascii="Arial" w:hAnsi="Arial" w:cs="Arial"/>
              </w:rPr>
            </w:pPr>
            <w:r w:rsidRPr="001C09B2">
              <w:rPr>
                <w:rFonts w:ascii="Arial" w:hAnsi="Arial" w:cs="Arial"/>
              </w:rPr>
              <w:t>12.39 days per FTE</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411EEC33" w14:textId="77777777" w:rsidR="0058291F" w:rsidRPr="001C09B2" w:rsidRDefault="0058291F" w:rsidP="0058291F">
            <w:pPr>
              <w:pStyle w:val="NoSpacing"/>
              <w:jc w:val="center"/>
              <w:rPr>
                <w:rFonts w:ascii="Arial" w:hAnsi="Arial" w:cs="Arial"/>
              </w:rPr>
            </w:pPr>
            <w:r w:rsidRPr="001C09B2">
              <w:rPr>
                <w:rFonts w:ascii="Arial" w:hAnsi="Arial" w:cs="Arial"/>
              </w:rPr>
              <w:t>July 2019 to June 2020</w:t>
            </w:r>
          </w:p>
          <w:p w14:paraId="5A58424F" w14:textId="77777777" w:rsidR="0058291F" w:rsidRPr="001C09B2" w:rsidRDefault="0058291F" w:rsidP="0058291F">
            <w:pPr>
              <w:pStyle w:val="NoSpacing"/>
              <w:jc w:val="center"/>
              <w:rPr>
                <w:rFonts w:ascii="Arial" w:hAnsi="Arial" w:cs="Arial"/>
              </w:rPr>
            </w:pPr>
            <w:r w:rsidRPr="001C09B2">
              <w:rPr>
                <w:rFonts w:ascii="Arial" w:hAnsi="Arial" w:cs="Arial"/>
              </w:rPr>
              <w:t>12.21 days per FTE</w:t>
            </w:r>
          </w:p>
          <w:p w14:paraId="1DC95CB2" w14:textId="77777777" w:rsidR="0058291F" w:rsidRPr="00F044C2" w:rsidRDefault="0058291F" w:rsidP="0058291F">
            <w:pPr>
              <w:pStyle w:val="NoSpacing"/>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F0000"/>
          </w:tcPr>
          <w:p w14:paraId="474B59F3" w14:textId="741CCC8A" w:rsidR="0058291F" w:rsidRPr="001C09B2" w:rsidRDefault="0058291F" w:rsidP="0058291F">
            <w:pPr>
              <w:pStyle w:val="NoSpacing"/>
              <w:jc w:val="center"/>
              <w:rPr>
                <w:rFonts w:ascii="Arial" w:hAnsi="Arial" w:cs="Arial"/>
              </w:rPr>
            </w:pPr>
            <w:r>
              <w:rPr>
                <w:rFonts w:ascii="Arial" w:hAnsi="Arial" w:cs="Arial"/>
              </w:rPr>
              <w:t>Aug</w:t>
            </w:r>
            <w:r w:rsidRPr="001C09B2">
              <w:rPr>
                <w:rFonts w:ascii="Arial" w:hAnsi="Arial" w:cs="Arial"/>
              </w:rPr>
              <w:t xml:space="preserve"> 2019 to </w:t>
            </w:r>
            <w:r>
              <w:rPr>
                <w:rFonts w:ascii="Arial" w:hAnsi="Arial" w:cs="Arial"/>
              </w:rPr>
              <w:t>September</w:t>
            </w:r>
            <w:r w:rsidRPr="001C09B2">
              <w:rPr>
                <w:rFonts w:ascii="Arial" w:hAnsi="Arial" w:cs="Arial"/>
              </w:rPr>
              <w:t xml:space="preserve"> 2020</w:t>
            </w:r>
          </w:p>
          <w:p w14:paraId="30C68782" w14:textId="6980DA0D" w:rsidR="0058291F" w:rsidRPr="001C09B2" w:rsidRDefault="0058291F" w:rsidP="0058291F">
            <w:pPr>
              <w:pStyle w:val="NoSpacing"/>
              <w:jc w:val="center"/>
              <w:rPr>
                <w:rFonts w:ascii="Arial" w:hAnsi="Arial" w:cs="Arial"/>
              </w:rPr>
            </w:pPr>
            <w:r>
              <w:rPr>
                <w:rFonts w:ascii="Arial" w:hAnsi="Arial" w:cs="Arial"/>
              </w:rPr>
              <w:t>12.03</w:t>
            </w:r>
            <w:r w:rsidRPr="001C09B2">
              <w:rPr>
                <w:rFonts w:ascii="Arial" w:hAnsi="Arial" w:cs="Arial"/>
              </w:rPr>
              <w:t xml:space="preserve"> days per FTE</w:t>
            </w:r>
          </w:p>
          <w:p w14:paraId="01BBE51A" w14:textId="05C2DED3" w:rsidR="0058291F" w:rsidRPr="00F044C2" w:rsidRDefault="0058291F" w:rsidP="0058291F">
            <w:pPr>
              <w:pStyle w:val="NoSpacing"/>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2050D191" w14:textId="53A38EAF" w:rsidR="0058291F" w:rsidRPr="00F044C2" w:rsidRDefault="0058291F" w:rsidP="0058291F">
            <w:pPr>
              <w:pStyle w:val="NoSpacing"/>
              <w:jc w:val="center"/>
              <w:rPr>
                <w:rFonts w:ascii="Arial" w:hAnsi="Arial" w:cs="Arial"/>
              </w:rPr>
            </w:pPr>
            <w:r w:rsidRPr="00F044C2">
              <w:rPr>
                <w:rFonts w:ascii="Arial" w:hAnsi="Arial" w:cs="Arial"/>
              </w:rPr>
              <w:t xml:space="preserve">Jan to </w:t>
            </w:r>
            <w:r w:rsidRPr="00210C58">
              <w:rPr>
                <w:rFonts w:ascii="Arial" w:hAnsi="Arial" w:cs="Arial"/>
              </w:rPr>
              <w:t>December 20</w:t>
            </w:r>
            <w:r w:rsidR="00210C58">
              <w:rPr>
                <w:rFonts w:ascii="Arial" w:hAnsi="Arial" w:cs="Arial"/>
              </w:rPr>
              <w:t>20</w:t>
            </w:r>
          </w:p>
          <w:p w14:paraId="57846737" w14:textId="18D24D8C" w:rsidR="0058291F" w:rsidRPr="00F044C2" w:rsidRDefault="0058291F" w:rsidP="0058291F">
            <w:pPr>
              <w:pStyle w:val="NoSpacing"/>
              <w:jc w:val="center"/>
              <w:rPr>
                <w:rFonts w:ascii="Arial" w:hAnsi="Arial" w:cs="Arial"/>
              </w:rPr>
            </w:pPr>
            <w:r w:rsidRPr="00F044C2">
              <w:rPr>
                <w:rFonts w:ascii="Arial" w:hAnsi="Arial" w:cs="Arial"/>
              </w:rPr>
              <w:t>11.48 days per FTE</w:t>
            </w:r>
          </w:p>
          <w:p w14:paraId="0D789B06" w14:textId="77777777" w:rsidR="0058291F" w:rsidRPr="00F044C2" w:rsidRDefault="0058291F" w:rsidP="0058291F">
            <w:pPr>
              <w:pStyle w:val="NoSpacing"/>
              <w:jc w:val="center"/>
              <w:rPr>
                <w:rFonts w:ascii="Arial" w:hAnsi="Arial" w:cs="Arial"/>
              </w:rPr>
            </w:pPr>
          </w:p>
        </w:tc>
        <w:tc>
          <w:tcPr>
            <w:tcW w:w="19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EC5CA97" w14:textId="77777777" w:rsidR="0058291F" w:rsidRPr="004B2EEE" w:rsidRDefault="0058291F" w:rsidP="0058291F">
            <w:pPr>
              <w:pStyle w:val="NoSpacing"/>
              <w:jc w:val="center"/>
              <w:rPr>
                <w:rFonts w:ascii="Arial" w:hAnsi="Arial" w:cs="Arial"/>
              </w:rPr>
            </w:pPr>
            <w:r w:rsidRPr="004B2EEE">
              <w:rPr>
                <w:rFonts w:ascii="Arial" w:hAnsi="Arial" w:cs="Arial"/>
              </w:rPr>
              <w:t>Apr 2020 to March 2021</w:t>
            </w:r>
          </w:p>
          <w:p w14:paraId="2E68DF1E" w14:textId="04F9FF2A" w:rsidR="0058291F" w:rsidRPr="00FA30B2" w:rsidRDefault="0058291F" w:rsidP="0058291F">
            <w:pPr>
              <w:pStyle w:val="NoSpacing"/>
              <w:jc w:val="center"/>
              <w:rPr>
                <w:rFonts w:ascii="Arial" w:hAnsi="Arial" w:cs="Arial"/>
              </w:rPr>
            </w:pPr>
            <w:r w:rsidRPr="004B2EEE">
              <w:rPr>
                <w:rFonts w:ascii="Arial" w:hAnsi="Arial" w:cs="Arial"/>
              </w:rPr>
              <w:t>10.76 days per FTE</w:t>
            </w:r>
          </w:p>
        </w:tc>
        <w:tc>
          <w:tcPr>
            <w:tcW w:w="1067" w:type="dxa"/>
            <w:tcBorders>
              <w:top w:val="single" w:sz="4" w:space="0" w:color="auto"/>
              <w:left w:val="single" w:sz="4" w:space="0" w:color="auto"/>
              <w:bottom w:val="single" w:sz="4" w:space="0" w:color="auto"/>
              <w:right w:val="single" w:sz="4" w:space="0" w:color="auto"/>
            </w:tcBorders>
          </w:tcPr>
          <w:p w14:paraId="66DFFA30" w14:textId="4758A2C3" w:rsidR="0058291F" w:rsidRPr="00FA30B2" w:rsidRDefault="0058291F" w:rsidP="0058291F">
            <w:pPr>
              <w:pStyle w:val="NoSpacing"/>
              <w:jc w:val="center"/>
              <w:rPr>
                <w:rFonts w:ascii="Arial" w:hAnsi="Arial" w:cs="Arial"/>
              </w:rPr>
            </w:pPr>
            <w:r w:rsidRPr="00FA30B2">
              <w:rPr>
                <w:rFonts w:ascii="Arial" w:hAnsi="Arial" w:cs="Arial"/>
              </w:rPr>
              <w:t>9.83 days per FTE</w:t>
            </w:r>
          </w:p>
        </w:tc>
      </w:tr>
      <w:tr w:rsidR="0058291F" w:rsidRPr="001A49B5" w14:paraId="5772C64F" w14:textId="77777777" w:rsidTr="00583C3F">
        <w:trPr>
          <w:trHeight w:val="1052"/>
        </w:trPr>
        <w:tc>
          <w:tcPr>
            <w:tcW w:w="1701" w:type="dxa"/>
            <w:tcBorders>
              <w:top w:val="single" w:sz="4" w:space="0" w:color="auto"/>
              <w:left w:val="single" w:sz="4" w:space="0" w:color="auto"/>
              <w:bottom w:val="single" w:sz="4" w:space="0" w:color="auto"/>
              <w:right w:val="single" w:sz="4" w:space="0" w:color="auto"/>
            </w:tcBorders>
            <w:hideMark/>
          </w:tcPr>
          <w:p w14:paraId="141B0B33" w14:textId="5C13D20A" w:rsidR="0058291F" w:rsidRDefault="0058291F" w:rsidP="0058291F">
            <w:pPr>
              <w:pStyle w:val="NoSpacing"/>
              <w:rPr>
                <w:rFonts w:ascii="Arial" w:hAnsi="Arial" w:cs="Arial"/>
              </w:rPr>
            </w:pPr>
            <w:bookmarkStart w:id="5" w:name="_Hlk74300532"/>
            <w:r w:rsidRPr="001A49B5">
              <w:rPr>
                <w:rFonts w:ascii="Arial" w:hAnsi="Arial" w:cs="Arial"/>
              </w:rPr>
              <w:t>Revenue forecast outturn % variance to budget</w:t>
            </w:r>
          </w:p>
          <w:p w14:paraId="7F6DC2F0" w14:textId="77777777" w:rsidR="00823748" w:rsidRDefault="00823748" w:rsidP="0058291F">
            <w:pPr>
              <w:pStyle w:val="NoSpacing"/>
              <w:rPr>
                <w:rFonts w:ascii="Arial" w:hAnsi="Arial" w:cs="Arial"/>
              </w:rPr>
            </w:pPr>
          </w:p>
          <w:bookmarkEnd w:id="5"/>
          <w:p w14:paraId="6C895654" w14:textId="77777777" w:rsidR="0058291F" w:rsidRPr="001A49B5" w:rsidRDefault="0058291F" w:rsidP="0058291F">
            <w:pPr>
              <w:pStyle w:val="NoSpacing"/>
              <w:rPr>
                <w:rFonts w:ascii="Arial" w:hAnsi="Arial" w:cs="Arial"/>
                <w:i/>
              </w:rPr>
            </w:pPr>
          </w:p>
        </w:tc>
        <w:tc>
          <w:tcPr>
            <w:tcW w:w="1418" w:type="dxa"/>
            <w:tcBorders>
              <w:top w:val="single" w:sz="4" w:space="0" w:color="auto"/>
              <w:left w:val="single" w:sz="4" w:space="0" w:color="auto"/>
              <w:bottom w:val="single" w:sz="4" w:space="0" w:color="auto"/>
              <w:right w:val="single" w:sz="4" w:space="0" w:color="auto"/>
            </w:tcBorders>
            <w:hideMark/>
          </w:tcPr>
          <w:p w14:paraId="6BC1B432" w14:textId="77777777" w:rsidR="0058291F" w:rsidRPr="001A49B5" w:rsidRDefault="0058291F" w:rsidP="0058291F">
            <w:pPr>
              <w:pStyle w:val="NoSpacing"/>
              <w:rPr>
                <w:rFonts w:ascii="Arial" w:hAnsi="Arial" w:cs="Arial"/>
                <w:i/>
              </w:rPr>
            </w:pPr>
            <w:r w:rsidRPr="001A49B5">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14:paraId="012AE0B9" w14:textId="77777777" w:rsidR="0058291F" w:rsidRPr="001A49B5" w:rsidRDefault="0058291F" w:rsidP="0058291F">
            <w:pPr>
              <w:pStyle w:val="NoSpacing"/>
              <w:rPr>
                <w:rFonts w:ascii="Arial" w:hAnsi="Arial" w:cs="Arial"/>
              </w:rPr>
            </w:pPr>
            <w:r w:rsidRPr="001A49B5">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14:paraId="64FBC4BD" w14:textId="77777777" w:rsidR="0058291F" w:rsidRPr="001A49B5" w:rsidRDefault="0058291F" w:rsidP="0058291F">
            <w:pPr>
              <w:pStyle w:val="NoSpacing"/>
              <w:rPr>
                <w:rFonts w:ascii="Arial" w:hAnsi="Arial" w:cs="Arial"/>
              </w:rPr>
            </w:pPr>
            <w:r w:rsidRPr="001A49B5">
              <w:rPr>
                <w:rFonts w:ascii="Arial" w:hAnsi="Arial" w:cs="Arial"/>
              </w:rPr>
              <w:t>Low</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B774F5" w14:textId="62989471" w:rsidR="0058291F" w:rsidRPr="001F014C" w:rsidRDefault="0058291F" w:rsidP="0058291F">
            <w:pPr>
              <w:pStyle w:val="NoSpacing"/>
              <w:jc w:val="center"/>
              <w:rPr>
                <w:rFonts w:ascii="Arial" w:hAnsi="Arial" w:cs="Arial"/>
              </w:rPr>
            </w:pPr>
            <w:r w:rsidRPr="001F014C">
              <w:rPr>
                <w:rFonts w:ascii="Arial" w:hAnsi="Arial" w:cs="Arial"/>
              </w:rPr>
              <w:t>0.22%</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88688A" w14:textId="696ED86B" w:rsidR="0058291F" w:rsidRPr="001F014C" w:rsidRDefault="0058291F" w:rsidP="0058291F">
            <w:pPr>
              <w:pStyle w:val="NoSpacing"/>
              <w:jc w:val="center"/>
              <w:rPr>
                <w:rFonts w:ascii="Arial" w:hAnsi="Arial" w:cs="Arial"/>
              </w:rPr>
            </w:pPr>
            <w:r w:rsidRPr="001F014C">
              <w:rPr>
                <w:rFonts w:ascii="Arial" w:hAnsi="Arial" w:cs="Arial"/>
              </w:rPr>
              <w:t>0.44%</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0EA854" w14:textId="2865954D" w:rsidR="0058291F" w:rsidRPr="00F044C2" w:rsidRDefault="0058291F" w:rsidP="0058291F">
            <w:pPr>
              <w:pStyle w:val="NoSpacing"/>
              <w:jc w:val="center"/>
              <w:rPr>
                <w:rFonts w:ascii="Arial" w:hAnsi="Arial" w:cs="Arial"/>
                <w:highlight w:val="yellow"/>
              </w:rPr>
            </w:pPr>
            <w:r w:rsidRPr="001226B0">
              <w:rPr>
                <w:rFonts w:ascii="Arial" w:hAnsi="Arial" w:cs="Arial"/>
              </w:rPr>
              <w:t>-0.24%</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1CEECD" w14:textId="00BADFAA" w:rsidR="0058291F" w:rsidRPr="00E338E3" w:rsidRDefault="0058291F" w:rsidP="0058291F">
            <w:pPr>
              <w:pStyle w:val="NoSpacing"/>
              <w:jc w:val="center"/>
              <w:rPr>
                <w:rFonts w:ascii="Arial" w:hAnsi="Arial" w:cs="Arial"/>
                <w:highlight w:val="yellow"/>
              </w:rPr>
            </w:pPr>
            <w:r w:rsidRPr="00E338E3">
              <w:rPr>
                <w:rFonts w:ascii="Arial" w:hAnsi="Arial" w:cs="Arial"/>
              </w:rPr>
              <w:t>-0.94%</w:t>
            </w:r>
          </w:p>
        </w:tc>
        <w:tc>
          <w:tcPr>
            <w:tcW w:w="19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FBF948" w14:textId="3FDDDFC4" w:rsidR="0058291F" w:rsidRPr="001A49B5" w:rsidRDefault="00583C3F" w:rsidP="0058291F">
            <w:pPr>
              <w:pStyle w:val="NoSpacing"/>
              <w:jc w:val="center"/>
              <w:rPr>
                <w:rFonts w:ascii="Arial" w:hAnsi="Arial" w:cs="Arial"/>
              </w:rPr>
            </w:pPr>
            <w:r w:rsidRPr="00583C3F">
              <w:rPr>
                <w:rFonts w:ascii="Arial" w:hAnsi="Arial" w:cs="Arial"/>
              </w:rPr>
              <w:t>-2.28</w:t>
            </w:r>
          </w:p>
        </w:tc>
        <w:tc>
          <w:tcPr>
            <w:tcW w:w="1067" w:type="dxa"/>
            <w:tcBorders>
              <w:top w:val="single" w:sz="4" w:space="0" w:color="auto"/>
              <w:left w:val="single" w:sz="4" w:space="0" w:color="auto"/>
              <w:bottom w:val="single" w:sz="4" w:space="0" w:color="auto"/>
              <w:right w:val="single" w:sz="4" w:space="0" w:color="auto"/>
            </w:tcBorders>
          </w:tcPr>
          <w:p w14:paraId="510211D4" w14:textId="0844584B" w:rsidR="0058291F" w:rsidRPr="001A49B5" w:rsidRDefault="0058291F" w:rsidP="0058291F">
            <w:pPr>
              <w:pStyle w:val="NoSpacing"/>
              <w:jc w:val="center"/>
              <w:rPr>
                <w:rFonts w:ascii="Arial" w:hAnsi="Arial" w:cs="Arial"/>
                <w:i/>
              </w:rPr>
            </w:pPr>
            <w:r w:rsidRPr="001A49B5">
              <w:rPr>
                <w:rFonts w:ascii="Arial" w:hAnsi="Arial" w:cs="Arial"/>
              </w:rPr>
              <w:t>0</w:t>
            </w:r>
          </w:p>
        </w:tc>
      </w:tr>
      <w:tr w:rsidR="00B92743" w:rsidRPr="001A49B5" w14:paraId="54725534" w14:textId="77777777" w:rsidTr="00ED3E73">
        <w:trPr>
          <w:trHeight w:val="852"/>
        </w:trPr>
        <w:tc>
          <w:tcPr>
            <w:tcW w:w="1701" w:type="dxa"/>
            <w:tcBorders>
              <w:top w:val="single" w:sz="4" w:space="0" w:color="auto"/>
              <w:left w:val="single" w:sz="4" w:space="0" w:color="auto"/>
              <w:bottom w:val="single" w:sz="4" w:space="0" w:color="auto"/>
              <w:right w:val="single" w:sz="4" w:space="0" w:color="auto"/>
            </w:tcBorders>
          </w:tcPr>
          <w:p w14:paraId="692EABCC" w14:textId="77777777" w:rsidR="00B92743" w:rsidRPr="001A49B5" w:rsidRDefault="00B92743" w:rsidP="0058291F">
            <w:pPr>
              <w:pStyle w:val="NoSpacing"/>
              <w:rPr>
                <w:rFonts w:ascii="Arial" w:hAnsi="Arial" w:cs="Arial"/>
              </w:rPr>
            </w:pPr>
            <w:r w:rsidRPr="001A49B5">
              <w:rPr>
                <w:rFonts w:ascii="Arial" w:hAnsi="Arial" w:cs="Arial"/>
              </w:rPr>
              <w:lastRenderedPageBreak/>
              <w:t xml:space="preserve">Proportion of budget supported by reserves </w:t>
            </w:r>
          </w:p>
        </w:tc>
        <w:tc>
          <w:tcPr>
            <w:tcW w:w="1418" w:type="dxa"/>
            <w:tcBorders>
              <w:top w:val="single" w:sz="4" w:space="0" w:color="auto"/>
              <w:left w:val="single" w:sz="4" w:space="0" w:color="auto"/>
              <w:bottom w:val="single" w:sz="4" w:space="0" w:color="auto"/>
              <w:right w:val="single" w:sz="4" w:space="0" w:color="auto"/>
            </w:tcBorders>
          </w:tcPr>
          <w:p w14:paraId="3E81AEEA" w14:textId="77777777" w:rsidR="00B92743" w:rsidRPr="001A49B5" w:rsidRDefault="00B92743" w:rsidP="0058291F">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14:paraId="351442E8" w14:textId="3842321C" w:rsidR="00B92743" w:rsidRDefault="00B92743" w:rsidP="0058291F">
            <w:pPr>
              <w:pStyle w:val="NoSpacing"/>
              <w:rPr>
                <w:rFonts w:ascii="Arial" w:hAnsi="Arial" w:cs="Arial"/>
              </w:rPr>
            </w:pPr>
            <w:r w:rsidRPr="001A49B5">
              <w:rPr>
                <w:rFonts w:ascii="Arial" w:hAnsi="Arial" w:cs="Arial"/>
              </w:rPr>
              <w:t>Chief Exe</w:t>
            </w:r>
            <w:r>
              <w:rPr>
                <w:rFonts w:ascii="Arial" w:hAnsi="Arial" w:cs="Arial"/>
              </w:rPr>
              <w:t>cutive and Director of Resource</w:t>
            </w:r>
          </w:p>
          <w:p w14:paraId="3B739830" w14:textId="77777777" w:rsidR="00B92743" w:rsidRPr="001A49B5" w:rsidRDefault="00B92743" w:rsidP="0058291F">
            <w:pPr>
              <w:pStyle w:val="NoSpacing"/>
              <w:rPr>
                <w:rFonts w:ascii="Arial" w:hAnsi="Arial" w:cs="Arial"/>
              </w:rPr>
            </w:pPr>
          </w:p>
        </w:tc>
        <w:tc>
          <w:tcPr>
            <w:tcW w:w="10498" w:type="dxa"/>
            <w:gridSpan w:val="7"/>
            <w:tcBorders>
              <w:top w:val="single" w:sz="4" w:space="0" w:color="auto"/>
              <w:left w:val="single" w:sz="4" w:space="0" w:color="auto"/>
              <w:bottom w:val="single" w:sz="4" w:space="0" w:color="auto"/>
              <w:right w:val="single" w:sz="4" w:space="0" w:color="auto"/>
            </w:tcBorders>
          </w:tcPr>
          <w:p w14:paraId="5CA22BAC" w14:textId="1D97164D" w:rsidR="00B92743" w:rsidRPr="001A49B5" w:rsidRDefault="00B92743" w:rsidP="0058291F">
            <w:pPr>
              <w:pStyle w:val="NoSpacing"/>
              <w:rPr>
                <w:rFonts w:ascii="Arial" w:hAnsi="Arial" w:cs="Arial"/>
              </w:rPr>
            </w:pPr>
            <w:r w:rsidRPr="001A49B5">
              <w:rPr>
                <w:rFonts w:ascii="Arial" w:hAnsi="Arial" w:cs="Arial"/>
              </w:rPr>
              <w:t>Annual Statement – schedule to be confirmed</w:t>
            </w:r>
          </w:p>
        </w:tc>
      </w:tr>
      <w:tr w:rsidR="00823748" w:rsidRPr="001A49B5" w14:paraId="23AFD987" w14:textId="77777777" w:rsidTr="00340960">
        <w:trPr>
          <w:trHeight w:val="852"/>
        </w:trPr>
        <w:tc>
          <w:tcPr>
            <w:tcW w:w="1701" w:type="dxa"/>
            <w:tcBorders>
              <w:top w:val="single" w:sz="4" w:space="0" w:color="auto"/>
              <w:left w:val="single" w:sz="4" w:space="0" w:color="auto"/>
              <w:bottom w:val="single" w:sz="4" w:space="0" w:color="auto"/>
              <w:right w:val="single" w:sz="4" w:space="0" w:color="auto"/>
            </w:tcBorders>
          </w:tcPr>
          <w:p w14:paraId="413B7F10" w14:textId="77777777" w:rsidR="00823748" w:rsidRPr="001A49B5" w:rsidRDefault="00823748" w:rsidP="0058291F">
            <w:pPr>
              <w:pStyle w:val="NoSpacing"/>
              <w:rPr>
                <w:rFonts w:ascii="Arial" w:hAnsi="Arial" w:cs="Arial"/>
              </w:rPr>
            </w:pPr>
            <w:r w:rsidRPr="001A49B5">
              <w:rPr>
                <w:rFonts w:ascii="Arial" w:hAnsi="Arial" w:cs="Arial"/>
              </w:rPr>
              <w:t>Progress on the apprenticeship levy</w:t>
            </w:r>
          </w:p>
        </w:tc>
        <w:tc>
          <w:tcPr>
            <w:tcW w:w="1418" w:type="dxa"/>
            <w:tcBorders>
              <w:top w:val="single" w:sz="4" w:space="0" w:color="auto"/>
              <w:left w:val="single" w:sz="4" w:space="0" w:color="auto"/>
              <w:bottom w:val="single" w:sz="4" w:space="0" w:color="auto"/>
              <w:right w:val="single" w:sz="4" w:space="0" w:color="auto"/>
            </w:tcBorders>
          </w:tcPr>
          <w:p w14:paraId="2286541E" w14:textId="77777777" w:rsidR="00823748" w:rsidRPr="001A49B5" w:rsidRDefault="00823748" w:rsidP="0058291F">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14:paraId="1655CB6F" w14:textId="77777777" w:rsidR="00823748" w:rsidRPr="001A49B5" w:rsidRDefault="00823748" w:rsidP="0058291F">
            <w:pPr>
              <w:pStyle w:val="NoSpacing"/>
              <w:rPr>
                <w:rFonts w:ascii="Arial" w:hAnsi="Arial" w:cs="Arial"/>
              </w:rPr>
            </w:pPr>
            <w:r w:rsidRPr="001A49B5">
              <w:rPr>
                <w:rFonts w:ascii="Arial" w:hAnsi="Arial" w:cs="Arial"/>
              </w:rPr>
              <w:t>Chief Executive and Director of Resources</w:t>
            </w:r>
          </w:p>
        </w:tc>
        <w:tc>
          <w:tcPr>
            <w:tcW w:w="10498" w:type="dxa"/>
            <w:gridSpan w:val="7"/>
            <w:tcBorders>
              <w:top w:val="single" w:sz="4" w:space="0" w:color="auto"/>
              <w:left w:val="single" w:sz="4" w:space="0" w:color="auto"/>
              <w:bottom w:val="single" w:sz="4" w:space="0" w:color="auto"/>
              <w:right w:val="single" w:sz="4" w:space="0" w:color="auto"/>
            </w:tcBorders>
          </w:tcPr>
          <w:p w14:paraId="746A0E34" w14:textId="3E458C06" w:rsidR="00823748" w:rsidRPr="001A49B5" w:rsidRDefault="00823748" w:rsidP="0058291F">
            <w:pPr>
              <w:pStyle w:val="NoSpacing"/>
              <w:rPr>
                <w:rFonts w:ascii="Arial" w:hAnsi="Arial" w:cs="Arial"/>
              </w:rPr>
            </w:pPr>
            <w:r w:rsidRPr="001A49B5">
              <w:rPr>
                <w:rFonts w:ascii="Arial" w:hAnsi="Arial" w:cs="Arial"/>
              </w:rPr>
              <w:t>Annual Report – schedule to be confirmed</w:t>
            </w:r>
          </w:p>
        </w:tc>
      </w:tr>
      <w:tr w:rsidR="00823748" w:rsidRPr="001A49B5" w14:paraId="23B6416A" w14:textId="77777777" w:rsidTr="00340960">
        <w:trPr>
          <w:trHeight w:val="852"/>
        </w:trPr>
        <w:tc>
          <w:tcPr>
            <w:tcW w:w="1701" w:type="dxa"/>
            <w:tcBorders>
              <w:top w:val="single" w:sz="4" w:space="0" w:color="auto"/>
              <w:left w:val="single" w:sz="4" w:space="0" w:color="auto"/>
              <w:bottom w:val="single" w:sz="4" w:space="0" w:color="auto"/>
              <w:right w:val="single" w:sz="4" w:space="0" w:color="auto"/>
            </w:tcBorders>
          </w:tcPr>
          <w:p w14:paraId="2C38D49B" w14:textId="77777777" w:rsidR="00823748" w:rsidRPr="001A49B5" w:rsidRDefault="00823748" w:rsidP="0058291F">
            <w:pPr>
              <w:pStyle w:val="NoSpacing"/>
              <w:rPr>
                <w:rFonts w:ascii="Arial" w:hAnsi="Arial" w:cs="Arial"/>
              </w:rPr>
            </w:pPr>
            <w:r w:rsidRPr="001A49B5">
              <w:rPr>
                <w:rFonts w:ascii="Arial" w:hAnsi="Arial" w:cs="Arial"/>
              </w:rPr>
              <w:t>Audit report</w:t>
            </w:r>
          </w:p>
        </w:tc>
        <w:tc>
          <w:tcPr>
            <w:tcW w:w="1418" w:type="dxa"/>
            <w:tcBorders>
              <w:top w:val="single" w:sz="4" w:space="0" w:color="auto"/>
              <w:left w:val="single" w:sz="4" w:space="0" w:color="auto"/>
              <w:bottom w:val="single" w:sz="4" w:space="0" w:color="auto"/>
              <w:right w:val="single" w:sz="4" w:space="0" w:color="auto"/>
            </w:tcBorders>
          </w:tcPr>
          <w:p w14:paraId="1B40F981" w14:textId="77777777" w:rsidR="00823748" w:rsidRPr="001A49B5" w:rsidRDefault="00823748" w:rsidP="0058291F">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14:paraId="26B0905F" w14:textId="77777777" w:rsidR="00823748" w:rsidRPr="001A49B5" w:rsidRDefault="00823748" w:rsidP="0058291F">
            <w:pPr>
              <w:pStyle w:val="NoSpacing"/>
              <w:rPr>
                <w:rFonts w:ascii="Arial" w:hAnsi="Arial" w:cs="Arial"/>
              </w:rPr>
            </w:pPr>
            <w:r w:rsidRPr="001A49B5">
              <w:rPr>
                <w:rFonts w:ascii="Arial" w:hAnsi="Arial" w:cs="Arial"/>
              </w:rPr>
              <w:t>Chief Executive and Director of Resources</w:t>
            </w:r>
          </w:p>
        </w:tc>
        <w:tc>
          <w:tcPr>
            <w:tcW w:w="10498" w:type="dxa"/>
            <w:gridSpan w:val="7"/>
            <w:tcBorders>
              <w:top w:val="single" w:sz="4" w:space="0" w:color="auto"/>
              <w:left w:val="single" w:sz="4" w:space="0" w:color="auto"/>
              <w:bottom w:val="single" w:sz="4" w:space="0" w:color="auto"/>
              <w:right w:val="single" w:sz="4" w:space="0" w:color="auto"/>
            </w:tcBorders>
          </w:tcPr>
          <w:p w14:paraId="5E9F636D" w14:textId="2C800699" w:rsidR="00823748" w:rsidRPr="001A49B5" w:rsidRDefault="00823748" w:rsidP="0058291F">
            <w:pPr>
              <w:pStyle w:val="NoSpacing"/>
              <w:rPr>
                <w:rFonts w:ascii="Arial" w:hAnsi="Arial" w:cs="Arial"/>
              </w:rPr>
            </w:pPr>
            <w:r w:rsidRPr="001A49B5">
              <w:rPr>
                <w:rFonts w:ascii="Arial" w:hAnsi="Arial" w:cs="Arial"/>
              </w:rPr>
              <w:t>Annual Statement – schedule to be confirmed</w:t>
            </w:r>
          </w:p>
        </w:tc>
      </w:tr>
      <w:tr w:rsidR="00823748" w:rsidRPr="001A49B5" w14:paraId="1125E104" w14:textId="77777777" w:rsidTr="00340960">
        <w:trPr>
          <w:trHeight w:val="852"/>
        </w:trPr>
        <w:tc>
          <w:tcPr>
            <w:tcW w:w="1701" w:type="dxa"/>
            <w:tcBorders>
              <w:top w:val="single" w:sz="4" w:space="0" w:color="auto"/>
              <w:left w:val="single" w:sz="4" w:space="0" w:color="auto"/>
              <w:bottom w:val="single" w:sz="4" w:space="0" w:color="auto"/>
              <w:right w:val="single" w:sz="4" w:space="0" w:color="auto"/>
            </w:tcBorders>
          </w:tcPr>
          <w:p w14:paraId="21F839CE" w14:textId="77777777" w:rsidR="00823748" w:rsidRPr="001A49B5" w:rsidRDefault="00823748" w:rsidP="0058291F">
            <w:pPr>
              <w:pStyle w:val="NoSpacing"/>
              <w:rPr>
                <w:rFonts w:ascii="Arial" w:hAnsi="Arial" w:cs="Arial"/>
              </w:rPr>
            </w:pPr>
            <w:r w:rsidRPr="001A49B5">
              <w:rPr>
                <w:rFonts w:ascii="Arial" w:hAnsi="Arial" w:cs="Arial"/>
              </w:rPr>
              <w:t xml:space="preserve">Progress on organisational development </w:t>
            </w:r>
          </w:p>
        </w:tc>
        <w:tc>
          <w:tcPr>
            <w:tcW w:w="1418" w:type="dxa"/>
            <w:tcBorders>
              <w:top w:val="single" w:sz="4" w:space="0" w:color="auto"/>
              <w:left w:val="single" w:sz="4" w:space="0" w:color="auto"/>
              <w:bottom w:val="single" w:sz="4" w:space="0" w:color="auto"/>
              <w:right w:val="single" w:sz="4" w:space="0" w:color="auto"/>
            </w:tcBorders>
          </w:tcPr>
          <w:p w14:paraId="4ACE5373" w14:textId="77777777" w:rsidR="00823748" w:rsidRPr="001A49B5" w:rsidRDefault="00823748" w:rsidP="0058291F">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14:paraId="686444C8" w14:textId="77777777" w:rsidR="00823748" w:rsidRPr="001A49B5" w:rsidRDefault="00823748" w:rsidP="0058291F">
            <w:pPr>
              <w:pStyle w:val="NoSpacing"/>
              <w:rPr>
                <w:rFonts w:ascii="Arial" w:hAnsi="Arial" w:cs="Arial"/>
              </w:rPr>
            </w:pPr>
            <w:r w:rsidRPr="001A49B5">
              <w:rPr>
                <w:rFonts w:ascii="Arial" w:hAnsi="Arial" w:cs="Arial"/>
              </w:rPr>
              <w:t>Chief Executive and Director of Resources</w:t>
            </w:r>
          </w:p>
        </w:tc>
        <w:tc>
          <w:tcPr>
            <w:tcW w:w="10498" w:type="dxa"/>
            <w:gridSpan w:val="7"/>
            <w:tcBorders>
              <w:top w:val="single" w:sz="4" w:space="0" w:color="auto"/>
              <w:left w:val="single" w:sz="4" w:space="0" w:color="auto"/>
              <w:bottom w:val="single" w:sz="4" w:space="0" w:color="auto"/>
              <w:right w:val="single" w:sz="4" w:space="0" w:color="auto"/>
            </w:tcBorders>
          </w:tcPr>
          <w:p w14:paraId="69AF9CF9" w14:textId="3573A397" w:rsidR="00823748" w:rsidRPr="001A49B5" w:rsidRDefault="00823748" w:rsidP="0058291F">
            <w:pPr>
              <w:pStyle w:val="NoSpacing"/>
              <w:rPr>
                <w:rFonts w:ascii="Arial" w:hAnsi="Arial" w:cs="Arial"/>
              </w:rPr>
            </w:pPr>
            <w:r w:rsidRPr="001A49B5">
              <w:rPr>
                <w:rFonts w:ascii="Arial" w:hAnsi="Arial" w:cs="Arial"/>
              </w:rPr>
              <w:t>Annual Report – schedule to be confirmed</w:t>
            </w:r>
          </w:p>
        </w:tc>
      </w:tr>
    </w:tbl>
    <w:p w14:paraId="753600C9" w14:textId="77777777" w:rsidR="0032288D" w:rsidRPr="001A49B5" w:rsidRDefault="0032288D" w:rsidP="0032288D">
      <w:pPr>
        <w:rPr>
          <w:rFonts w:cs="Arial"/>
          <w:b/>
          <w:color w:val="auto"/>
          <w:sz w:val="22"/>
          <w:szCs w:val="22"/>
        </w:rPr>
      </w:pPr>
    </w:p>
    <w:p w14:paraId="7EB17B63" w14:textId="77777777" w:rsidR="00583C3F" w:rsidRDefault="0032288D" w:rsidP="00583C3F">
      <w:pPr>
        <w:rPr>
          <w:rFonts w:ascii="Calibri" w:eastAsiaTheme="minorHAnsi" w:hAnsi="Calibri" w:cs="Calibri"/>
          <w:color w:val="auto"/>
          <w:sz w:val="22"/>
          <w:szCs w:val="22"/>
        </w:rPr>
      </w:pPr>
      <w:r w:rsidRPr="00583C3F">
        <w:rPr>
          <w:rFonts w:cs="Arial"/>
          <w:b/>
          <w:color w:val="auto"/>
          <w:sz w:val="22"/>
          <w:szCs w:val="22"/>
        </w:rPr>
        <w:t>Revenue forecast outturn % variance to budget</w:t>
      </w:r>
      <w:r w:rsidR="00F703C8" w:rsidRPr="00583C3F">
        <w:rPr>
          <w:rFonts w:cs="Arial"/>
          <w:b/>
          <w:color w:val="FF0000"/>
          <w:sz w:val="22"/>
          <w:szCs w:val="22"/>
        </w:rPr>
        <w:t>.</w:t>
      </w:r>
      <w:r w:rsidRPr="00583C3F">
        <w:rPr>
          <w:color w:val="FF0000"/>
          <w:sz w:val="22"/>
          <w:szCs w:val="22"/>
        </w:rPr>
        <w:t xml:space="preserve"> </w:t>
      </w:r>
      <w:r w:rsidR="00583C3F" w:rsidRPr="00583C3F">
        <w:rPr>
          <w:sz w:val="22"/>
          <w:szCs w:val="22"/>
        </w:rPr>
        <w:t>2020/21 was an exceptional year due to the pandemic, with various different grants provided by Government throughout the year. The main reason for the underspend is due to a continued strong performance across Treasury Management, with a surplus of £24m generated</w:t>
      </w:r>
      <w:r w:rsidR="00583C3F">
        <w:t>.</w:t>
      </w:r>
    </w:p>
    <w:p w14:paraId="481FEDFF" w14:textId="04379C61" w:rsidR="0058291F" w:rsidRPr="008F6523" w:rsidRDefault="0058291F" w:rsidP="0058291F">
      <w:pPr>
        <w:autoSpaceDE/>
        <w:autoSpaceDN/>
        <w:adjustRightInd/>
        <w:spacing w:after="0"/>
        <w:rPr>
          <w:color w:val="auto"/>
          <w:sz w:val="22"/>
          <w:szCs w:val="22"/>
        </w:rPr>
      </w:pPr>
      <w:r w:rsidRPr="00F044C2">
        <w:rPr>
          <w:rFonts w:cs="Arial"/>
          <w:b/>
          <w:color w:val="auto"/>
          <w:sz w:val="22"/>
          <w:szCs w:val="22"/>
        </w:rPr>
        <w:t>Sickness absence</w:t>
      </w:r>
      <w:r w:rsidR="000525C9">
        <w:rPr>
          <w:rFonts w:cs="Arial"/>
          <w:color w:val="auto"/>
          <w:sz w:val="22"/>
          <w:szCs w:val="22"/>
        </w:rPr>
        <w:t xml:space="preserve">. </w:t>
      </w:r>
      <w:r w:rsidR="006C1078">
        <w:rPr>
          <w:color w:val="auto"/>
          <w:sz w:val="22"/>
          <w:szCs w:val="22"/>
        </w:rPr>
        <w:t>The overall sickness absence rate has shown</w:t>
      </w:r>
      <w:r w:rsidRPr="008F6523">
        <w:rPr>
          <w:color w:val="auto"/>
          <w:sz w:val="22"/>
          <w:szCs w:val="22"/>
        </w:rPr>
        <w:t xml:space="preserve"> a continuous decline since April 2020, down to 10.76</w:t>
      </w:r>
      <w:r w:rsidR="006E1EA7">
        <w:rPr>
          <w:color w:val="auto"/>
          <w:sz w:val="22"/>
          <w:szCs w:val="22"/>
        </w:rPr>
        <w:t xml:space="preserve"> days per Full Time Equivalent (FTE) employee</w:t>
      </w:r>
      <w:r w:rsidRPr="008F6523">
        <w:rPr>
          <w:color w:val="auto"/>
          <w:sz w:val="22"/>
          <w:szCs w:val="22"/>
        </w:rPr>
        <w:t xml:space="preserve"> for the period April </w:t>
      </w:r>
      <w:r w:rsidR="006C1078">
        <w:rPr>
          <w:color w:val="auto"/>
          <w:sz w:val="22"/>
          <w:szCs w:val="22"/>
        </w:rPr>
        <w:t>20</w:t>
      </w:r>
      <w:r w:rsidRPr="008F6523">
        <w:rPr>
          <w:color w:val="auto"/>
          <w:sz w:val="22"/>
          <w:szCs w:val="22"/>
        </w:rPr>
        <w:t xml:space="preserve">20 to Mar </w:t>
      </w:r>
      <w:r w:rsidR="006C1078">
        <w:rPr>
          <w:color w:val="auto"/>
          <w:sz w:val="22"/>
          <w:szCs w:val="22"/>
        </w:rPr>
        <w:t>20</w:t>
      </w:r>
      <w:r w:rsidRPr="008F6523">
        <w:rPr>
          <w:color w:val="auto"/>
          <w:sz w:val="22"/>
          <w:szCs w:val="22"/>
        </w:rPr>
        <w:t xml:space="preserve">21. This is the lowest recorded since we began monitoring in February 2018. In the last quarter we have also observed a continual decline in absence days lost for both short term and long-term absences, with the latter accounting for 75% of days lost. We have also identified a slight decline in the number of days lost due to mental health related absence, which still accounts for the largest proportion of days lost at 39.25%. Our data also demonstrates that the number of absences exceeding 12 months duration has increased, and this is attributed to delays in treatment and operations etc as a result of the </w:t>
      </w:r>
      <w:r w:rsidR="006E1EA7">
        <w:rPr>
          <w:color w:val="auto"/>
          <w:sz w:val="22"/>
          <w:szCs w:val="22"/>
        </w:rPr>
        <w:t>pandemic</w:t>
      </w:r>
      <w:r w:rsidRPr="008F6523">
        <w:rPr>
          <w:color w:val="auto"/>
          <w:sz w:val="22"/>
          <w:szCs w:val="22"/>
        </w:rPr>
        <w:t xml:space="preserve"> restrictions. We have recognised a small number absences due to long </w:t>
      </w:r>
      <w:proofErr w:type="spellStart"/>
      <w:r w:rsidR="006E1EA7">
        <w:rPr>
          <w:color w:val="auto"/>
          <w:sz w:val="22"/>
          <w:szCs w:val="22"/>
        </w:rPr>
        <w:t>C</w:t>
      </w:r>
      <w:r w:rsidRPr="008F6523">
        <w:rPr>
          <w:color w:val="auto"/>
          <w:sz w:val="22"/>
          <w:szCs w:val="22"/>
        </w:rPr>
        <w:t>ovid</w:t>
      </w:r>
      <w:proofErr w:type="spellEnd"/>
      <w:r w:rsidRPr="008F6523">
        <w:rPr>
          <w:color w:val="auto"/>
          <w:sz w:val="22"/>
          <w:szCs w:val="22"/>
        </w:rPr>
        <w:t xml:space="preserve"> and are therefore directing our resource to provide more focussed support for these cases.</w:t>
      </w:r>
    </w:p>
    <w:p w14:paraId="29B6F96F" w14:textId="43AC6809" w:rsidR="00564C57" w:rsidRPr="004B2678" w:rsidRDefault="00564C57" w:rsidP="0058291F">
      <w:pPr>
        <w:autoSpaceDE/>
        <w:autoSpaceDN/>
        <w:adjustRightInd/>
        <w:spacing w:after="0"/>
        <w:rPr>
          <w:rFonts w:cs="Arial"/>
          <w:color w:val="auto"/>
          <w:sz w:val="22"/>
          <w:szCs w:val="22"/>
        </w:rPr>
      </w:pPr>
    </w:p>
    <w:sectPr w:rsidR="00564C57" w:rsidRPr="004B2678" w:rsidSect="009E649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860F" w14:textId="77777777" w:rsidR="002B0DBD" w:rsidRDefault="002B0DBD" w:rsidP="002D6E2A">
      <w:pPr>
        <w:spacing w:after="0"/>
      </w:pPr>
      <w:r>
        <w:separator/>
      </w:r>
    </w:p>
  </w:endnote>
  <w:endnote w:type="continuationSeparator" w:id="0">
    <w:p w14:paraId="0D8A2725" w14:textId="77777777" w:rsidR="002B0DBD" w:rsidRDefault="002B0DBD" w:rsidP="002D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97CC" w14:textId="356AAADF" w:rsidR="002B0DBD" w:rsidRDefault="002B0DBD">
    <w:pPr>
      <w:pStyle w:val="Footer"/>
    </w:pPr>
    <w:r w:rsidRPr="00DD214D">
      <w:rPr>
        <w:sz w:val="20"/>
        <w:szCs w:val="20"/>
      </w:rPr>
      <w:t xml:space="preserve">Please note all data </w:t>
    </w:r>
    <w:r>
      <w:rPr>
        <w:sz w:val="20"/>
        <w:szCs w:val="20"/>
      </w:rPr>
      <w:t>was</w:t>
    </w:r>
    <w:r w:rsidRPr="00DD214D">
      <w:rPr>
        <w:sz w:val="20"/>
        <w:szCs w:val="20"/>
      </w:rPr>
      <w:t xml:space="preserve"> correct at the time of publication, however </w:t>
    </w:r>
    <w:r>
      <w:rPr>
        <w:sz w:val="20"/>
        <w:szCs w:val="20"/>
      </w:rPr>
      <w:t>they may</w:t>
    </w:r>
    <w:r w:rsidRPr="00DD214D">
      <w:rPr>
        <w:sz w:val="20"/>
        <w:szCs w:val="20"/>
      </w:rPr>
      <w:t xml:space="preserve"> change </w:t>
    </w:r>
    <w:r>
      <w:rPr>
        <w:sz w:val="20"/>
        <w:szCs w:val="20"/>
      </w:rPr>
      <w:t>due to validation processes including for statutory reporting</w:t>
    </w:r>
    <w:r>
      <w:t>.</w:t>
    </w:r>
  </w:p>
  <w:p w14:paraId="73F7074F" w14:textId="77777777" w:rsidR="002B0DBD" w:rsidRDefault="002B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035A" w14:textId="77777777" w:rsidR="002B0DBD" w:rsidRDefault="002B0DBD" w:rsidP="002D6E2A">
      <w:pPr>
        <w:spacing w:after="0"/>
      </w:pPr>
      <w:r>
        <w:separator/>
      </w:r>
    </w:p>
  </w:footnote>
  <w:footnote w:type="continuationSeparator" w:id="0">
    <w:p w14:paraId="47DFB338" w14:textId="77777777" w:rsidR="002B0DBD" w:rsidRDefault="002B0DBD" w:rsidP="002D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88FC" w14:textId="77777777" w:rsidR="002B0DBD" w:rsidRDefault="002B0DBD" w:rsidP="0085231B">
    <w:pPr>
      <w:pStyle w:val="Header"/>
      <w:jc w:val="center"/>
    </w:pPr>
    <w:r>
      <w:t xml:space="preserve">                                                       Corporate Strategy Key Performance Indicators</w:t>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E41"/>
    <w:multiLevelType w:val="hybridMultilevel"/>
    <w:tmpl w:val="8BFAA1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866933"/>
    <w:multiLevelType w:val="hybridMultilevel"/>
    <w:tmpl w:val="347E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95947"/>
    <w:multiLevelType w:val="hybridMultilevel"/>
    <w:tmpl w:val="993AD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A40B14"/>
    <w:multiLevelType w:val="hybridMultilevel"/>
    <w:tmpl w:val="6C64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D81F64"/>
    <w:multiLevelType w:val="hybridMultilevel"/>
    <w:tmpl w:val="3446D9CA"/>
    <w:lvl w:ilvl="0" w:tplc="B400F082">
      <w:start w:val="73"/>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E063D81"/>
    <w:multiLevelType w:val="hybridMultilevel"/>
    <w:tmpl w:val="840C3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2E20FD"/>
    <w:multiLevelType w:val="hybridMultilevel"/>
    <w:tmpl w:val="13B43000"/>
    <w:lvl w:ilvl="0" w:tplc="19A4078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8863B9F"/>
    <w:multiLevelType w:val="hybridMultilevel"/>
    <w:tmpl w:val="FE385B16"/>
    <w:lvl w:ilvl="0" w:tplc="C456A9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C92D73"/>
    <w:multiLevelType w:val="hybridMultilevel"/>
    <w:tmpl w:val="840EA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4A63AA"/>
    <w:multiLevelType w:val="hybridMultilevel"/>
    <w:tmpl w:val="8C7E2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D33B3A"/>
    <w:multiLevelType w:val="hybridMultilevel"/>
    <w:tmpl w:val="4BA8D63C"/>
    <w:lvl w:ilvl="0" w:tplc="4BD454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333C2A"/>
    <w:multiLevelType w:val="hybridMultilevel"/>
    <w:tmpl w:val="B4F0D032"/>
    <w:lvl w:ilvl="0" w:tplc="AD16C49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51888"/>
    <w:multiLevelType w:val="hybridMultilevel"/>
    <w:tmpl w:val="27CAC658"/>
    <w:lvl w:ilvl="0" w:tplc="EA0A043E">
      <w:start w:val="1"/>
      <w:numFmt w:val="decimal"/>
      <w:lvlText w:val="(%1)"/>
      <w:lvlJc w:val="left"/>
      <w:pPr>
        <w:ind w:left="360" w:hanging="360"/>
      </w:pPr>
      <w:rPr>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C1E6560"/>
    <w:multiLevelType w:val="hybridMultilevel"/>
    <w:tmpl w:val="BC1C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E5F29"/>
    <w:multiLevelType w:val="hybridMultilevel"/>
    <w:tmpl w:val="01C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14"/>
  </w:num>
  <w:num w:numId="6">
    <w:abstractNumId w:val="4"/>
  </w:num>
  <w:num w:numId="7">
    <w:abstractNumId w:val="6"/>
  </w:num>
  <w:num w:numId="8">
    <w:abstractNumId w:val="7"/>
  </w:num>
  <w:num w:numId="9">
    <w:abstractNumId w:val="10"/>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3"/>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F2"/>
    <w:rsid w:val="00001256"/>
    <w:rsid w:val="00004D29"/>
    <w:rsid w:val="00007585"/>
    <w:rsid w:val="000133E2"/>
    <w:rsid w:val="00013B7E"/>
    <w:rsid w:val="0001784B"/>
    <w:rsid w:val="00020A1B"/>
    <w:rsid w:val="0002435A"/>
    <w:rsid w:val="000258B3"/>
    <w:rsid w:val="00036F7B"/>
    <w:rsid w:val="00041AB3"/>
    <w:rsid w:val="00046F47"/>
    <w:rsid w:val="000507C1"/>
    <w:rsid w:val="00050B4B"/>
    <w:rsid w:val="000525C9"/>
    <w:rsid w:val="0007395C"/>
    <w:rsid w:val="00077DB5"/>
    <w:rsid w:val="00092F5A"/>
    <w:rsid w:val="00095911"/>
    <w:rsid w:val="000A096A"/>
    <w:rsid w:val="000B18DF"/>
    <w:rsid w:val="000B2370"/>
    <w:rsid w:val="000C05FB"/>
    <w:rsid w:val="000C1365"/>
    <w:rsid w:val="000C39DD"/>
    <w:rsid w:val="000C781B"/>
    <w:rsid w:val="000C7DFE"/>
    <w:rsid w:val="000D4197"/>
    <w:rsid w:val="000D73D8"/>
    <w:rsid w:val="000E18E8"/>
    <w:rsid w:val="000E3ED3"/>
    <w:rsid w:val="000E7FC3"/>
    <w:rsid w:val="000F02F4"/>
    <w:rsid w:val="000F258B"/>
    <w:rsid w:val="000F3426"/>
    <w:rsid w:val="000F368C"/>
    <w:rsid w:val="000F3FBE"/>
    <w:rsid w:val="00111E70"/>
    <w:rsid w:val="001121BB"/>
    <w:rsid w:val="001226B0"/>
    <w:rsid w:val="00122FB0"/>
    <w:rsid w:val="00123509"/>
    <w:rsid w:val="00123C44"/>
    <w:rsid w:val="00123E07"/>
    <w:rsid w:val="00125A36"/>
    <w:rsid w:val="00131AA3"/>
    <w:rsid w:val="001332EE"/>
    <w:rsid w:val="00140DF8"/>
    <w:rsid w:val="00142C67"/>
    <w:rsid w:val="00145B8D"/>
    <w:rsid w:val="001512D1"/>
    <w:rsid w:val="0015724F"/>
    <w:rsid w:val="0016448F"/>
    <w:rsid w:val="00167C73"/>
    <w:rsid w:val="001770E6"/>
    <w:rsid w:val="0018011B"/>
    <w:rsid w:val="00184555"/>
    <w:rsid w:val="00195EEF"/>
    <w:rsid w:val="00196C41"/>
    <w:rsid w:val="001A400A"/>
    <w:rsid w:val="001A43F1"/>
    <w:rsid w:val="001A49B5"/>
    <w:rsid w:val="001A4D23"/>
    <w:rsid w:val="001A6A43"/>
    <w:rsid w:val="001B1422"/>
    <w:rsid w:val="001C09B2"/>
    <w:rsid w:val="001C1734"/>
    <w:rsid w:val="001C6468"/>
    <w:rsid w:val="001D0FE5"/>
    <w:rsid w:val="001D398F"/>
    <w:rsid w:val="001D49B0"/>
    <w:rsid w:val="001D4B9D"/>
    <w:rsid w:val="001E7348"/>
    <w:rsid w:val="001F014C"/>
    <w:rsid w:val="001F1626"/>
    <w:rsid w:val="001F162D"/>
    <w:rsid w:val="001F31AE"/>
    <w:rsid w:val="001F7C2A"/>
    <w:rsid w:val="00200C1D"/>
    <w:rsid w:val="00207665"/>
    <w:rsid w:val="00207DEE"/>
    <w:rsid w:val="00210103"/>
    <w:rsid w:val="00210C58"/>
    <w:rsid w:val="002205AF"/>
    <w:rsid w:val="00221D0B"/>
    <w:rsid w:val="002265F0"/>
    <w:rsid w:val="002277A1"/>
    <w:rsid w:val="002409EF"/>
    <w:rsid w:val="002534F6"/>
    <w:rsid w:val="0026069C"/>
    <w:rsid w:val="002720CC"/>
    <w:rsid w:val="00274807"/>
    <w:rsid w:val="00276CE3"/>
    <w:rsid w:val="00280C1B"/>
    <w:rsid w:val="002838F2"/>
    <w:rsid w:val="0028634B"/>
    <w:rsid w:val="002925B8"/>
    <w:rsid w:val="00296833"/>
    <w:rsid w:val="002A062B"/>
    <w:rsid w:val="002A3D6D"/>
    <w:rsid w:val="002A6544"/>
    <w:rsid w:val="002A70FC"/>
    <w:rsid w:val="002A7CA1"/>
    <w:rsid w:val="002B0DBD"/>
    <w:rsid w:val="002B3909"/>
    <w:rsid w:val="002B747A"/>
    <w:rsid w:val="002C0FF4"/>
    <w:rsid w:val="002C1DAC"/>
    <w:rsid w:val="002D0EDC"/>
    <w:rsid w:val="002D6E2A"/>
    <w:rsid w:val="002E07BB"/>
    <w:rsid w:val="002E4EC4"/>
    <w:rsid w:val="002E7879"/>
    <w:rsid w:val="002E7E0A"/>
    <w:rsid w:val="002F513B"/>
    <w:rsid w:val="002F5A3E"/>
    <w:rsid w:val="002F68A7"/>
    <w:rsid w:val="003046A3"/>
    <w:rsid w:val="0030579F"/>
    <w:rsid w:val="00305F3A"/>
    <w:rsid w:val="003065B4"/>
    <w:rsid w:val="003069FF"/>
    <w:rsid w:val="0031188A"/>
    <w:rsid w:val="00315598"/>
    <w:rsid w:val="0031637E"/>
    <w:rsid w:val="0032288D"/>
    <w:rsid w:val="00323412"/>
    <w:rsid w:val="00323A5D"/>
    <w:rsid w:val="0032442E"/>
    <w:rsid w:val="00331019"/>
    <w:rsid w:val="00337F8C"/>
    <w:rsid w:val="00340960"/>
    <w:rsid w:val="0034354C"/>
    <w:rsid w:val="003454EB"/>
    <w:rsid w:val="003526D1"/>
    <w:rsid w:val="00352FF2"/>
    <w:rsid w:val="00355AA2"/>
    <w:rsid w:val="00360950"/>
    <w:rsid w:val="00362CF6"/>
    <w:rsid w:val="00367E0B"/>
    <w:rsid w:val="00383C23"/>
    <w:rsid w:val="00390F6A"/>
    <w:rsid w:val="003914B1"/>
    <w:rsid w:val="003A1640"/>
    <w:rsid w:val="003A19EF"/>
    <w:rsid w:val="003A24B1"/>
    <w:rsid w:val="003B1B95"/>
    <w:rsid w:val="003B2001"/>
    <w:rsid w:val="003B2220"/>
    <w:rsid w:val="003B2F86"/>
    <w:rsid w:val="003C4E41"/>
    <w:rsid w:val="003D183F"/>
    <w:rsid w:val="003E0CE8"/>
    <w:rsid w:val="003E101A"/>
    <w:rsid w:val="003E4409"/>
    <w:rsid w:val="003E442D"/>
    <w:rsid w:val="003F05BE"/>
    <w:rsid w:val="003F2381"/>
    <w:rsid w:val="003F3A47"/>
    <w:rsid w:val="003F655B"/>
    <w:rsid w:val="003F7F3F"/>
    <w:rsid w:val="00415612"/>
    <w:rsid w:val="00425002"/>
    <w:rsid w:val="00431DB7"/>
    <w:rsid w:val="00434916"/>
    <w:rsid w:val="0043590C"/>
    <w:rsid w:val="00435DDD"/>
    <w:rsid w:val="00442656"/>
    <w:rsid w:val="0044628C"/>
    <w:rsid w:val="004511EF"/>
    <w:rsid w:val="00452236"/>
    <w:rsid w:val="00473184"/>
    <w:rsid w:val="0047453A"/>
    <w:rsid w:val="00475DFB"/>
    <w:rsid w:val="0048285A"/>
    <w:rsid w:val="0049220C"/>
    <w:rsid w:val="00497F1B"/>
    <w:rsid w:val="004A2C41"/>
    <w:rsid w:val="004A6825"/>
    <w:rsid w:val="004B0886"/>
    <w:rsid w:val="004B0BE0"/>
    <w:rsid w:val="004B2678"/>
    <w:rsid w:val="004B3AF3"/>
    <w:rsid w:val="004B4F11"/>
    <w:rsid w:val="004B628C"/>
    <w:rsid w:val="004C6605"/>
    <w:rsid w:val="004C7F0A"/>
    <w:rsid w:val="004D0AF9"/>
    <w:rsid w:val="004D0B0A"/>
    <w:rsid w:val="004D1B4E"/>
    <w:rsid w:val="004D203F"/>
    <w:rsid w:val="004D430F"/>
    <w:rsid w:val="004E7DD6"/>
    <w:rsid w:val="004F0D7F"/>
    <w:rsid w:val="004F3ABA"/>
    <w:rsid w:val="004F7941"/>
    <w:rsid w:val="00501E98"/>
    <w:rsid w:val="00504746"/>
    <w:rsid w:val="00505E62"/>
    <w:rsid w:val="00510628"/>
    <w:rsid w:val="005109F6"/>
    <w:rsid w:val="00511644"/>
    <w:rsid w:val="00515537"/>
    <w:rsid w:val="00517843"/>
    <w:rsid w:val="00521E6E"/>
    <w:rsid w:val="00524B26"/>
    <w:rsid w:val="005269D0"/>
    <w:rsid w:val="00526E10"/>
    <w:rsid w:val="00534664"/>
    <w:rsid w:val="00536E6E"/>
    <w:rsid w:val="005373D9"/>
    <w:rsid w:val="00537744"/>
    <w:rsid w:val="005414FB"/>
    <w:rsid w:val="00545FE0"/>
    <w:rsid w:val="0055170D"/>
    <w:rsid w:val="00551AC1"/>
    <w:rsid w:val="0056032A"/>
    <w:rsid w:val="00562BD5"/>
    <w:rsid w:val="00564C57"/>
    <w:rsid w:val="005669BE"/>
    <w:rsid w:val="00570C7D"/>
    <w:rsid w:val="00572718"/>
    <w:rsid w:val="00573F30"/>
    <w:rsid w:val="00574087"/>
    <w:rsid w:val="00575499"/>
    <w:rsid w:val="0057583C"/>
    <w:rsid w:val="0058291F"/>
    <w:rsid w:val="00582D6F"/>
    <w:rsid w:val="00583C3F"/>
    <w:rsid w:val="0058536A"/>
    <w:rsid w:val="005B010D"/>
    <w:rsid w:val="005B47B1"/>
    <w:rsid w:val="005B4AFF"/>
    <w:rsid w:val="005B6167"/>
    <w:rsid w:val="005B760A"/>
    <w:rsid w:val="005C0C77"/>
    <w:rsid w:val="005C2CC9"/>
    <w:rsid w:val="005C6838"/>
    <w:rsid w:val="005C7158"/>
    <w:rsid w:val="005D49BA"/>
    <w:rsid w:val="005D71FD"/>
    <w:rsid w:val="005E1B76"/>
    <w:rsid w:val="005E330D"/>
    <w:rsid w:val="005F1C30"/>
    <w:rsid w:val="005F2EB2"/>
    <w:rsid w:val="005F476B"/>
    <w:rsid w:val="005F55FC"/>
    <w:rsid w:val="005F6297"/>
    <w:rsid w:val="00607777"/>
    <w:rsid w:val="00616A97"/>
    <w:rsid w:val="0061728D"/>
    <w:rsid w:val="006175B4"/>
    <w:rsid w:val="00621C4A"/>
    <w:rsid w:val="00622E7F"/>
    <w:rsid w:val="00623C95"/>
    <w:rsid w:val="00623DEA"/>
    <w:rsid w:val="00623DF2"/>
    <w:rsid w:val="00623EBB"/>
    <w:rsid w:val="006342D6"/>
    <w:rsid w:val="00634857"/>
    <w:rsid w:val="00635E3B"/>
    <w:rsid w:val="00636D1F"/>
    <w:rsid w:val="00647555"/>
    <w:rsid w:val="00653C87"/>
    <w:rsid w:val="00655041"/>
    <w:rsid w:val="0066391A"/>
    <w:rsid w:val="00667BA1"/>
    <w:rsid w:val="00670B66"/>
    <w:rsid w:val="006736B7"/>
    <w:rsid w:val="00674F7C"/>
    <w:rsid w:val="0067500A"/>
    <w:rsid w:val="00676F9E"/>
    <w:rsid w:val="00681240"/>
    <w:rsid w:val="00681545"/>
    <w:rsid w:val="00682025"/>
    <w:rsid w:val="006848D4"/>
    <w:rsid w:val="00684DCF"/>
    <w:rsid w:val="006859D8"/>
    <w:rsid w:val="0069426C"/>
    <w:rsid w:val="006949CD"/>
    <w:rsid w:val="00695B4E"/>
    <w:rsid w:val="006A02E4"/>
    <w:rsid w:val="006A337D"/>
    <w:rsid w:val="006A4BA2"/>
    <w:rsid w:val="006A540B"/>
    <w:rsid w:val="006B253F"/>
    <w:rsid w:val="006B30BD"/>
    <w:rsid w:val="006C07CE"/>
    <w:rsid w:val="006C1078"/>
    <w:rsid w:val="006D1B9B"/>
    <w:rsid w:val="006D2B1F"/>
    <w:rsid w:val="006E1EA7"/>
    <w:rsid w:val="006E6C86"/>
    <w:rsid w:val="006E78F5"/>
    <w:rsid w:val="006F1BF7"/>
    <w:rsid w:val="00712429"/>
    <w:rsid w:val="00715A70"/>
    <w:rsid w:val="007166A5"/>
    <w:rsid w:val="00720507"/>
    <w:rsid w:val="007226BB"/>
    <w:rsid w:val="00723C73"/>
    <w:rsid w:val="00725D0F"/>
    <w:rsid w:val="00733055"/>
    <w:rsid w:val="00733ACE"/>
    <w:rsid w:val="00735BF3"/>
    <w:rsid w:val="0074509D"/>
    <w:rsid w:val="00747BFD"/>
    <w:rsid w:val="00751EE4"/>
    <w:rsid w:val="0075357F"/>
    <w:rsid w:val="00761E5F"/>
    <w:rsid w:val="00762D7E"/>
    <w:rsid w:val="00763EAC"/>
    <w:rsid w:val="00766C94"/>
    <w:rsid w:val="007713AF"/>
    <w:rsid w:val="007777CD"/>
    <w:rsid w:val="00787507"/>
    <w:rsid w:val="00793E28"/>
    <w:rsid w:val="00794E18"/>
    <w:rsid w:val="007A0EFB"/>
    <w:rsid w:val="007A25F3"/>
    <w:rsid w:val="007A319E"/>
    <w:rsid w:val="007A35D1"/>
    <w:rsid w:val="007A3B24"/>
    <w:rsid w:val="007B69B2"/>
    <w:rsid w:val="007B6D2A"/>
    <w:rsid w:val="007D2E16"/>
    <w:rsid w:val="007D41F4"/>
    <w:rsid w:val="007D73D0"/>
    <w:rsid w:val="007F0214"/>
    <w:rsid w:val="007F71AA"/>
    <w:rsid w:val="007F71D4"/>
    <w:rsid w:val="007F7C74"/>
    <w:rsid w:val="0080455B"/>
    <w:rsid w:val="00811841"/>
    <w:rsid w:val="008167B4"/>
    <w:rsid w:val="00820453"/>
    <w:rsid w:val="008209DC"/>
    <w:rsid w:val="00823748"/>
    <w:rsid w:val="00823CB0"/>
    <w:rsid w:val="0082751F"/>
    <w:rsid w:val="00827E30"/>
    <w:rsid w:val="0084562A"/>
    <w:rsid w:val="0084610D"/>
    <w:rsid w:val="00846683"/>
    <w:rsid w:val="0085231B"/>
    <w:rsid w:val="00852922"/>
    <w:rsid w:val="0086292A"/>
    <w:rsid w:val="0086641D"/>
    <w:rsid w:val="00872AF3"/>
    <w:rsid w:val="00874B19"/>
    <w:rsid w:val="008762C7"/>
    <w:rsid w:val="0088528F"/>
    <w:rsid w:val="00894433"/>
    <w:rsid w:val="00894AF1"/>
    <w:rsid w:val="0089569C"/>
    <w:rsid w:val="00897C4F"/>
    <w:rsid w:val="008A0116"/>
    <w:rsid w:val="008A0758"/>
    <w:rsid w:val="008A3559"/>
    <w:rsid w:val="008A3893"/>
    <w:rsid w:val="008A4314"/>
    <w:rsid w:val="008A725A"/>
    <w:rsid w:val="008C099E"/>
    <w:rsid w:val="008C09BC"/>
    <w:rsid w:val="008D39B9"/>
    <w:rsid w:val="008D39EF"/>
    <w:rsid w:val="008D3C59"/>
    <w:rsid w:val="008E2F87"/>
    <w:rsid w:val="008E5464"/>
    <w:rsid w:val="008E694B"/>
    <w:rsid w:val="008F0670"/>
    <w:rsid w:val="008F4CE0"/>
    <w:rsid w:val="008F7657"/>
    <w:rsid w:val="009115D0"/>
    <w:rsid w:val="00914679"/>
    <w:rsid w:val="009150EA"/>
    <w:rsid w:val="00916017"/>
    <w:rsid w:val="00930111"/>
    <w:rsid w:val="00931587"/>
    <w:rsid w:val="00933E74"/>
    <w:rsid w:val="00936BE0"/>
    <w:rsid w:val="0093720F"/>
    <w:rsid w:val="009376E3"/>
    <w:rsid w:val="009421AC"/>
    <w:rsid w:val="00943BB6"/>
    <w:rsid w:val="00944591"/>
    <w:rsid w:val="009501AC"/>
    <w:rsid w:val="00951F3F"/>
    <w:rsid w:val="00962C04"/>
    <w:rsid w:val="00963EA0"/>
    <w:rsid w:val="00964D19"/>
    <w:rsid w:val="00970B61"/>
    <w:rsid w:val="00970DA7"/>
    <w:rsid w:val="009716EC"/>
    <w:rsid w:val="00975B35"/>
    <w:rsid w:val="00976054"/>
    <w:rsid w:val="00991436"/>
    <w:rsid w:val="0099341C"/>
    <w:rsid w:val="009943A5"/>
    <w:rsid w:val="00994DD6"/>
    <w:rsid w:val="009A2510"/>
    <w:rsid w:val="009A456D"/>
    <w:rsid w:val="009A7AE3"/>
    <w:rsid w:val="009B2680"/>
    <w:rsid w:val="009B51FC"/>
    <w:rsid w:val="009B6205"/>
    <w:rsid w:val="009D03DD"/>
    <w:rsid w:val="009D53DE"/>
    <w:rsid w:val="009E189D"/>
    <w:rsid w:val="009E6494"/>
    <w:rsid w:val="009E7D1F"/>
    <w:rsid w:val="009F2F70"/>
    <w:rsid w:val="009F51A8"/>
    <w:rsid w:val="009F6464"/>
    <w:rsid w:val="009F786D"/>
    <w:rsid w:val="00A00251"/>
    <w:rsid w:val="00A13FE9"/>
    <w:rsid w:val="00A16FB8"/>
    <w:rsid w:val="00A225F1"/>
    <w:rsid w:val="00A27737"/>
    <w:rsid w:val="00A30BAB"/>
    <w:rsid w:val="00A32ABB"/>
    <w:rsid w:val="00A444FA"/>
    <w:rsid w:val="00A44901"/>
    <w:rsid w:val="00A461F4"/>
    <w:rsid w:val="00A60246"/>
    <w:rsid w:val="00A62455"/>
    <w:rsid w:val="00A63A2D"/>
    <w:rsid w:val="00A666B3"/>
    <w:rsid w:val="00A766E4"/>
    <w:rsid w:val="00A76FC4"/>
    <w:rsid w:val="00A8108F"/>
    <w:rsid w:val="00A83B7B"/>
    <w:rsid w:val="00A859CA"/>
    <w:rsid w:val="00A877FC"/>
    <w:rsid w:val="00A913E1"/>
    <w:rsid w:val="00A935A3"/>
    <w:rsid w:val="00A93D3E"/>
    <w:rsid w:val="00AA0898"/>
    <w:rsid w:val="00AA640C"/>
    <w:rsid w:val="00AA78A1"/>
    <w:rsid w:val="00AB19BD"/>
    <w:rsid w:val="00AB4748"/>
    <w:rsid w:val="00AB58BD"/>
    <w:rsid w:val="00AB7002"/>
    <w:rsid w:val="00AB79E2"/>
    <w:rsid w:val="00AC07E2"/>
    <w:rsid w:val="00AC296D"/>
    <w:rsid w:val="00AC478F"/>
    <w:rsid w:val="00AC483B"/>
    <w:rsid w:val="00AE3530"/>
    <w:rsid w:val="00AF11A4"/>
    <w:rsid w:val="00B02056"/>
    <w:rsid w:val="00B03CC9"/>
    <w:rsid w:val="00B17C59"/>
    <w:rsid w:val="00B2080D"/>
    <w:rsid w:val="00B22C1E"/>
    <w:rsid w:val="00B25A31"/>
    <w:rsid w:val="00B26302"/>
    <w:rsid w:val="00B3001C"/>
    <w:rsid w:val="00B34CB0"/>
    <w:rsid w:val="00B34D73"/>
    <w:rsid w:val="00B3509A"/>
    <w:rsid w:val="00B36867"/>
    <w:rsid w:val="00B410C4"/>
    <w:rsid w:val="00B42F15"/>
    <w:rsid w:val="00B4675A"/>
    <w:rsid w:val="00B47564"/>
    <w:rsid w:val="00B531E7"/>
    <w:rsid w:val="00B611B1"/>
    <w:rsid w:val="00B6230A"/>
    <w:rsid w:val="00B623A4"/>
    <w:rsid w:val="00B7059D"/>
    <w:rsid w:val="00B712E2"/>
    <w:rsid w:val="00B716A4"/>
    <w:rsid w:val="00B812EB"/>
    <w:rsid w:val="00B815FE"/>
    <w:rsid w:val="00B81A8A"/>
    <w:rsid w:val="00B92743"/>
    <w:rsid w:val="00B9469A"/>
    <w:rsid w:val="00B9612E"/>
    <w:rsid w:val="00BA43DD"/>
    <w:rsid w:val="00BB542A"/>
    <w:rsid w:val="00BC2282"/>
    <w:rsid w:val="00BC5083"/>
    <w:rsid w:val="00BC5238"/>
    <w:rsid w:val="00BC6C1E"/>
    <w:rsid w:val="00BD4E0A"/>
    <w:rsid w:val="00BD6CDA"/>
    <w:rsid w:val="00BE03D2"/>
    <w:rsid w:val="00BE0C2C"/>
    <w:rsid w:val="00BE1158"/>
    <w:rsid w:val="00BE5A3C"/>
    <w:rsid w:val="00BE5FA3"/>
    <w:rsid w:val="00BE6AA7"/>
    <w:rsid w:val="00BE6BC7"/>
    <w:rsid w:val="00BE74EA"/>
    <w:rsid w:val="00BE7C63"/>
    <w:rsid w:val="00BF14DE"/>
    <w:rsid w:val="00BF329F"/>
    <w:rsid w:val="00BF590F"/>
    <w:rsid w:val="00C00EB5"/>
    <w:rsid w:val="00C016CE"/>
    <w:rsid w:val="00C03186"/>
    <w:rsid w:val="00C07EA2"/>
    <w:rsid w:val="00C10210"/>
    <w:rsid w:val="00C131B4"/>
    <w:rsid w:val="00C14B0B"/>
    <w:rsid w:val="00C175DE"/>
    <w:rsid w:val="00C17673"/>
    <w:rsid w:val="00C22234"/>
    <w:rsid w:val="00C34F5E"/>
    <w:rsid w:val="00C51386"/>
    <w:rsid w:val="00C52804"/>
    <w:rsid w:val="00C558E7"/>
    <w:rsid w:val="00C56640"/>
    <w:rsid w:val="00C573CC"/>
    <w:rsid w:val="00C5763B"/>
    <w:rsid w:val="00C738B0"/>
    <w:rsid w:val="00C81B42"/>
    <w:rsid w:val="00C8209F"/>
    <w:rsid w:val="00C90933"/>
    <w:rsid w:val="00C935C8"/>
    <w:rsid w:val="00C93CE9"/>
    <w:rsid w:val="00C942FE"/>
    <w:rsid w:val="00CA16D5"/>
    <w:rsid w:val="00CA2098"/>
    <w:rsid w:val="00CA35DE"/>
    <w:rsid w:val="00CB094D"/>
    <w:rsid w:val="00CB14DB"/>
    <w:rsid w:val="00CB48F3"/>
    <w:rsid w:val="00CC1A92"/>
    <w:rsid w:val="00CC580A"/>
    <w:rsid w:val="00CC5F21"/>
    <w:rsid w:val="00CD098B"/>
    <w:rsid w:val="00CD4A95"/>
    <w:rsid w:val="00CD51FC"/>
    <w:rsid w:val="00CD6E64"/>
    <w:rsid w:val="00CE0C5D"/>
    <w:rsid w:val="00CE1096"/>
    <w:rsid w:val="00CE2CB0"/>
    <w:rsid w:val="00CF2155"/>
    <w:rsid w:val="00CF2632"/>
    <w:rsid w:val="00CF46E9"/>
    <w:rsid w:val="00D05596"/>
    <w:rsid w:val="00D145B8"/>
    <w:rsid w:val="00D148F3"/>
    <w:rsid w:val="00D17986"/>
    <w:rsid w:val="00D26666"/>
    <w:rsid w:val="00D30E2C"/>
    <w:rsid w:val="00D33A8B"/>
    <w:rsid w:val="00D34AE0"/>
    <w:rsid w:val="00D34F94"/>
    <w:rsid w:val="00D4023A"/>
    <w:rsid w:val="00D4077C"/>
    <w:rsid w:val="00D43784"/>
    <w:rsid w:val="00D52D01"/>
    <w:rsid w:val="00D533EB"/>
    <w:rsid w:val="00D565F6"/>
    <w:rsid w:val="00D62D39"/>
    <w:rsid w:val="00D70025"/>
    <w:rsid w:val="00D71ABE"/>
    <w:rsid w:val="00D858D0"/>
    <w:rsid w:val="00D85B53"/>
    <w:rsid w:val="00D863C3"/>
    <w:rsid w:val="00D91294"/>
    <w:rsid w:val="00D94D1E"/>
    <w:rsid w:val="00D96553"/>
    <w:rsid w:val="00D970F9"/>
    <w:rsid w:val="00DA3C5A"/>
    <w:rsid w:val="00DB05DE"/>
    <w:rsid w:val="00DB103C"/>
    <w:rsid w:val="00DC0C3A"/>
    <w:rsid w:val="00DD1200"/>
    <w:rsid w:val="00DD1E30"/>
    <w:rsid w:val="00DD214D"/>
    <w:rsid w:val="00DD759D"/>
    <w:rsid w:val="00DE0951"/>
    <w:rsid w:val="00DE3BAA"/>
    <w:rsid w:val="00DE5D47"/>
    <w:rsid w:val="00DF0869"/>
    <w:rsid w:val="00DF4A9B"/>
    <w:rsid w:val="00DF5BC6"/>
    <w:rsid w:val="00E0776C"/>
    <w:rsid w:val="00E11421"/>
    <w:rsid w:val="00E12711"/>
    <w:rsid w:val="00E13BDE"/>
    <w:rsid w:val="00E17670"/>
    <w:rsid w:val="00E2129C"/>
    <w:rsid w:val="00E31ADA"/>
    <w:rsid w:val="00E338E3"/>
    <w:rsid w:val="00E33F1C"/>
    <w:rsid w:val="00E3453B"/>
    <w:rsid w:val="00E34B2E"/>
    <w:rsid w:val="00E34EF7"/>
    <w:rsid w:val="00E4227B"/>
    <w:rsid w:val="00E43EEA"/>
    <w:rsid w:val="00E52747"/>
    <w:rsid w:val="00E52877"/>
    <w:rsid w:val="00E56032"/>
    <w:rsid w:val="00E61B2D"/>
    <w:rsid w:val="00E62FF2"/>
    <w:rsid w:val="00E70623"/>
    <w:rsid w:val="00E709BA"/>
    <w:rsid w:val="00E709D1"/>
    <w:rsid w:val="00E719E0"/>
    <w:rsid w:val="00E74C75"/>
    <w:rsid w:val="00E7782A"/>
    <w:rsid w:val="00E841E9"/>
    <w:rsid w:val="00E9388A"/>
    <w:rsid w:val="00E94802"/>
    <w:rsid w:val="00E96CF7"/>
    <w:rsid w:val="00EA0D43"/>
    <w:rsid w:val="00EA51FD"/>
    <w:rsid w:val="00EA59E0"/>
    <w:rsid w:val="00EA5E16"/>
    <w:rsid w:val="00EA7743"/>
    <w:rsid w:val="00EB1875"/>
    <w:rsid w:val="00EB5DEB"/>
    <w:rsid w:val="00EC131C"/>
    <w:rsid w:val="00EC2CD4"/>
    <w:rsid w:val="00EC41CB"/>
    <w:rsid w:val="00ED23DA"/>
    <w:rsid w:val="00ED3E73"/>
    <w:rsid w:val="00ED666D"/>
    <w:rsid w:val="00EE288A"/>
    <w:rsid w:val="00EE5846"/>
    <w:rsid w:val="00EF3F00"/>
    <w:rsid w:val="00EF7133"/>
    <w:rsid w:val="00EF7805"/>
    <w:rsid w:val="00F044C2"/>
    <w:rsid w:val="00F177DC"/>
    <w:rsid w:val="00F17BA9"/>
    <w:rsid w:val="00F2228D"/>
    <w:rsid w:val="00F23C1E"/>
    <w:rsid w:val="00F24A95"/>
    <w:rsid w:val="00F26156"/>
    <w:rsid w:val="00F33B29"/>
    <w:rsid w:val="00F34485"/>
    <w:rsid w:val="00F34541"/>
    <w:rsid w:val="00F37071"/>
    <w:rsid w:val="00F41347"/>
    <w:rsid w:val="00F42508"/>
    <w:rsid w:val="00F50B4A"/>
    <w:rsid w:val="00F51064"/>
    <w:rsid w:val="00F5227D"/>
    <w:rsid w:val="00F52BA6"/>
    <w:rsid w:val="00F55678"/>
    <w:rsid w:val="00F61398"/>
    <w:rsid w:val="00F62A98"/>
    <w:rsid w:val="00F6393B"/>
    <w:rsid w:val="00F647A7"/>
    <w:rsid w:val="00F703C8"/>
    <w:rsid w:val="00F76E4F"/>
    <w:rsid w:val="00F844C6"/>
    <w:rsid w:val="00F84BF2"/>
    <w:rsid w:val="00F871B6"/>
    <w:rsid w:val="00FA21FC"/>
    <w:rsid w:val="00FA30B2"/>
    <w:rsid w:val="00FA35E5"/>
    <w:rsid w:val="00FA732D"/>
    <w:rsid w:val="00FC0F5E"/>
    <w:rsid w:val="00FC1D04"/>
    <w:rsid w:val="00FC4314"/>
    <w:rsid w:val="00FD2B8F"/>
    <w:rsid w:val="00FD3D3D"/>
    <w:rsid w:val="00FD3E99"/>
    <w:rsid w:val="00FE22C8"/>
    <w:rsid w:val="00FE4D5F"/>
    <w:rsid w:val="00FF5F69"/>
    <w:rsid w:val="00FF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C54D15"/>
  <w15:chartTrackingRefBased/>
  <w15:docId w15:val="{13BBBC00-09CD-4DF7-AC26-320DFF6B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838F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2838F2"/>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nhideWhenUsed/>
    <w:qFormat/>
    <w:rsid w:val="002838F2"/>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F2"/>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2838F2"/>
    <w:rPr>
      <w:rFonts w:ascii="Arial" w:eastAsia="Times New Roman" w:hAnsi="Arial" w:cs="Helvetica-Light"/>
      <w:b/>
      <w:bCs/>
      <w:color w:val="000000"/>
      <w:sz w:val="32"/>
      <w:szCs w:val="26"/>
      <w:lang w:eastAsia="en-GB"/>
    </w:rPr>
  </w:style>
  <w:style w:type="paragraph" w:styleId="NoSpacing">
    <w:name w:val="No Spacing"/>
    <w:link w:val="NoSpacingChar"/>
    <w:uiPriority w:val="1"/>
    <w:qFormat/>
    <w:rsid w:val="002838F2"/>
    <w:pPr>
      <w:spacing w:after="0" w:line="240" w:lineRule="auto"/>
    </w:pPr>
    <w:rPr>
      <w:rFonts w:ascii="Calibri" w:eastAsia="Calibri" w:hAnsi="Calibri" w:cs="Times New Roman"/>
    </w:rPr>
  </w:style>
  <w:style w:type="paragraph" w:styleId="ListParagraph">
    <w:name w:val="List Paragraph"/>
    <w:basedOn w:val="Normal"/>
    <w:uiPriority w:val="34"/>
    <w:qFormat/>
    <w:rsid w:val="002838F2"/>
    <w:pPr>
      <w:ind w:left="720"/>
      <w:contextualSpacing/>
    </w:pPr>
  </w:style>
  <w:style w:type="paragraph" w:styleId="BalloonText">
    <w:name w:val="Balloon Text"/>
    <w:basedOn w:val="Normal"/>
    <w:link w:val="BalloonTextChar"/>
    <w:uiPriority w:val="99"/>
    <w:semiHidden/>
    <w:unhideWhenUsed/>
    <w:rsid w:val="00276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E3"/>
    <w:rPr>
      <w:rFonts w:ascii="Segoe UI" w:eastAsia="Calibri" w:hAnsi="Segoe UI" w:cs="Segoe UI"/>
      <w:color w:val="000000"/>
      <w:sz w:val="18"/>
      <w:szCs w:val="18"/>
    </w:rPr>
  </w:style>
  <w:style w:type="paragraph" w:styleId="Header">
    <w:name w:val="header"/>
    <w:basedOn w:val="Normal"/>
    <w:link w:val="HeaderChar"/>
    <w:uiPriority w:val="99"/>
    <w:unhideWhenUsed/>
    <w:rsid w:val="002D6E2A"/>
    <w:pPr>
      <w:tabs>
        <w:tab w:val="center" w:pos="4513"/>
        <w:tab w:val="right" w:pos="9026"/>
      </w:tabs>
      <w:spacing w:after="0"/>
    </w:pPr>
  </w:style>
  <w:style w:type="character" w:customStyle="1" w:styleId="HeaderChar">
    <w:name w:val="Header Char"/>
    <w:basedOn w:val="DefaultParagraphFont"/>
    <w:link w:val="Header"/>
    <w:uiPriority w:val="99"/>
    <w:rsid w:val="002D6E2A"/>
    <w:rPr>
      <w:rFonts w:ascii="Arial" w:eastAsia="Calibri" w:hAnsi="Arial" w:cs="Helvetica-Light"/>
      <w:color w:val="000000"/>
      <w:sz w:val="24"/>
      <w:szCs w:val="24"/>
    </w:rPr>
  </w:style>
  <w:style w:type="paragraph" w:styleId="Footer">
    <w:name w:val="footer"/>
    <w:basedOn w:val="Normal"/>
    <w:link w:val="FooterChar"/>
    <w:uiPriority w:val="99"/>
    <w:unhideWhenUsed/>
    <w:rsid w:val="002D6E2A"/>
    <w:pPr>
      <w:tabs>
        <w:tab w:val="center" w:pos="4513"/>
        <w:tab w:val="right" w:pos="9026"/>
      </w:tabs>
      <w:spacing w:after="0"/>
    </w:pPr>
  </w:style>
  <w:style w:type="character" w:customStyle="1" w:styleId="FooterChar">
    <w:name w:val="Footer Char"/>
    <w:basedOn w:val="DefaultParagraphFont"/>
    <w:link w:val="Footer"/>
    <w:uiPriority w:val="99"/>
    <w:rsid w:val="002D6E2A"/>
    <w:rPr>
      <w:rFonts w:ascii="Arial" w:eastAsia="Calibri" w:hAnsi="Arial" w:cs="Helvetica-Light"/>
      <w:color w:val="000000"/>
      <w:sz w:val="24"/>
      <w:szCs w:val="24"/>
    </w:rPr>
  </w:style>
  <w:style w:type="character" w:customStyle="1" w:styleId="NoSpacingChar">
    <w:name w:val="No Spacing Char"/>
    <w:link w:val="NoSpacing"/>
    <w:uiPriority w:val="1"/>
    <w:rsid w:val="001D0FE5"/>
    <w:rPr>
      <w:rFonts w:ascii="Calibri" w:eastAsia="Calibri" w:hAnsi="Calibri" w:cs="Times New Roman"/>
    </w:rPr>
  </w:style>
  <w:style w:type="character" w:styleId="CommentReference">
    <w:name w:val="annotation reference"/>
    <w:basedOn w:val="DefaultParagraphFont"/>
    <w:uiPriority w:val="99"/>
    <w:semiHidden/>
    <w:unhideWhenUsed/>
    <w:rsid w:val="00140DF8"/>
    <w:rPr>
      <w:sz w:val="16"/>
      <w:szCs w:val="16"/>
    </w:rPr>
  </w:style>
  <w:style w:type="paragraph" w:styleId="CommentText">
    <w:name w:val="annotation text"/>
    <w:basedOn w:val="Normal"/>
    <w:link w:val="CommentTextChar"/>
    <w:uiPriority w:val="99"/>
    <w:unhideWhenUsed/>
    <w:rsid w:val="00140DF8"/>
    <w:rPr>
      <w:sz w:val="20"/>
      <w:szCs w:val="20"/>
    </w:rPr>
  </w:style>
  <w:style w:type="character" w:customStyle="1" w:styleId="CommentTextChar">
    <w:name w:val="Comment Text Char"/>
    <w:basedOn w:val="DefaultParagraphFont"/>
    <w:link w:val="CommentText"/>
    <w:uiPriority w:val="99"/>
    <w:rsid w:val="00140DF8"/>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140DF8"/>
    <w:rPr>
      <w:b/>
      <w:bCs/>
    </w:rPr>
  </w:style>
  <w:style w:type="character" w:customStyle="1" w:styleId="CommentSubjectChar">
    <w:name w:val="Comment Subject Char"/>
    <w:basedOn w:val="CommentTextChar"/>
    <w:link w:val="CommentSubject"/>
    <w:uiPriority w:val="99"/>
    <w:semiHidden/>
    <w:rsid w:val="00140DF8"/>
    <w:rPr>
      <w:rFonts w:ascii="Arial" w:eastAsia="Calibri" w:hAnsi="Arial" w:cs="Helvetica-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8119">
      <w:bodyDiv w:val="1"/>
      <w:marLeft w:val="0"/>
      <w:marRight w:val="0"/>
      <w:marTop w:val="0"/>
      <w:marBottom w:val="0"/>
      <w:divBdr>
        <w:top w:val="none" w:sz="0" w:space="0" w:color="auto"/>
        <w:left w:val="none" w:sz="0" w:space="0" w:color="auto"/>
        <w:bottom w:val="none" w:sz="0" w:space="0" w:color="auto"/>
        <w:right w:val="none" w:sz="0" w:space="0" w:color="auto"/>
      </w:divBdr>
    </w:div>
    <w:div w:id="156924776">
      <w:bodyDiv w:val="1"/>
      <w:marLeft w:val="0"/>
      <w:marRight w:val="0"/>
      <w:marTop w:val="0"/>
      <w:marBottom w:val="0"/>
      <w:divBdr>
        <w:top w:val="none" w:sz="0" w:space="0" w:color="auto"/>
        <w:left w:val="none" w:sz="0" w:space="0" w:color="auto"/>
        <w:bottom w:val="none" w:sz="0" w:space="0" w:color="auto"/>
        <w:right w:val="none" w:sz="0" w:space="0" w:color="auto"/>
      </w:divBdr>
    </w:div>
    <w:div w:id="281807230">
      <w:bodyDiv w:val="1"/>
      <w:marLeft w:val="0"/>
      <w:marRight w:val="0"/>
      <w:marTop w:val="0"/>
      <w:marBottom w:val="0"/>
      <w:divBdr>
        <w:top w:val="none" w:sz="0" w:space="0" w:color="auto"/>
        <w:left w:val="none" w:sz="0" w:space="0" w:color="auto"/>
        <w:bottom w:val="none" w:sz="0" w:space="0" w:color="auto"/>
        <w:right w:val="none" w:sz="0" w:space="0" w:color="auto"/>
      </w:divBdr>
    </w:div>
    <w:div w:id="302008345">
      <w:bodyDiv w:val="1"/>
      <w:marLeft w:val="0"/>
      <w:marRight w:val="0"/>
      <w:marTop w:val="0"/>
      <w:marBottom w:val="0"/>
      <w:divBdr>
        <w:top w:val="none" w:sz="0" w:space="0" w:color="auto"/>
        <w:left w:val="none" w:sz="0" w:space="0" w:color="auto"/>
        <w:bottom w:val="none" w:sz="0" w:space="0" w:color="auto"/>
        <w:right w:val="none" w:sz="0" w:space="0" w:color="auto"/>
      </w:divBdr>
    </w:div>
    <w:div w:id="314916383">
      <w:bodyDiv w:val="1"/>
      <w:marLeft w:val="0"/>
      <w:marRight w:val="0"/>
      <w:marTop w:val="0"/>
      <w:marBottom w:val="0"/>
      <w:divBdr>
        <w:top w:val="none" w:sz="0" w:space="0" w:color="auto"/>
        <w:left w:val="none" w:sz="0" w:space="0" w:color="auto"/>
        <w:bottom w:val="none" w:sz="0" w:space="0" w:color="auto"/>
        <w:right w:val="none" w:sz="0" w:space="0" w:color="auto"/>
      </w:divBdr>
    </w:div>
    <w:div w:id="327097909">
      <w:bodyDiv w:val="1"/>
      <w:marLeft w:val="0"/>
      <w:marRight w:val="0"/>
      <w:marTop w:val="0"/>
      <w:marBottom w:val="0"/>
      <w:divBdr>
        <w:top w:val="none" w:sz="0" w:space="0" w:color="auto"/>
        <w:left w:val="none" w:sz="0" w:space="0" w:color="auto"/>
        <w:bottom w:val="none" w:sz="0" w:space="0" w:color="auto"/>
        <w:right w:val="none" w:sz="0" w:space="0" w:color="auto"/>
      </w:divBdr>
    </w:div>
    <w:div w:id="341670157">
      <w:bodyDiv w:val="1"/>
      <w:marLeft w:val="0"/>
      <w:marRight w:val="0"/>
      <w:marTop w:val="0"/>
      <w:marBottom w:val="0"/>
      <w:divBdr>
        <w:top w:val="none" w:sz="0" w:space="0" w:color="auto"/>
        <w:left w:val="none" w:sz="0" w:space="0" w:color="auto"/>
        <w:bottom w:val="none" w:sz="0" w:space="0" w:color="auto"/>
        <w:right w:val="none" w:sz="0" w:space="0" w:color="auto"/>
      </w:divBdr>
    </w:div>
    <w:div w:id="373694204">
      <w:bodyDiv w:val="1"/>
      <w:marLeft w:val="0"/>
      <w:marRight w:val="0"/>
      <w:marTop w:val="0"/>
      <w:marBottom w:val="0"/>
      <w:divBdr>
        <w:top w:val="none" w:sz="0" w:space="0" w:color="auto"/>
        <w:left w:val="none" w:sz="0" w:space="0" w:color="auto"/>
        <w:bottom w:val="none" w:sz="0" w:space="0" w:color="auto"/>
        <w:right w:val="none" w:sz="0" w:space="0" w:color="auto"/>
      </w:divBdr>
    </w:div>
    <w:div w:id="493843561">
      <w:bodyDiv w:val="1"/>
      <w:marLeft w:val="0"/>
      <w:marRight w:val="0"/>
      <w:marTop w:val="0"/>
      <w:marBottom w:val="0"/>
      <w:divBdr>
        <w:top w:val="none" w:sz="0" w:space="0" w:color="auto"/>
        <w:left w:val="none" w:sz="0" w:space="0" w:color="auto"/>
        <w:bottom w:val="none" w:sz="0" w:space="0" w:color="auto"/>
        <w:right w:val="none" w:sz="0" w:space="0" w:color="auto"/>
      </w:divBdr>
    </w:div>
    <w:div w:id="529495122">
      <w:bodyDiv w:val="1"/>
      <w:marLeft w:val="0"/>
      <w:marRight w:val="0"/>
      <w:marTop w:val="0"/>
      <w:marBottom w:val="0"/>
      <w:divBdr>
        <w:top w:val="none" w:sz="0" w:space="0" w:color="auto"/>
        <w:left w:val="none" w:sz="0" w:space="0" w:color="auto"/>
        <w:bottom w:val="none" w:sz="0" w:space="0" w:color="auto"/>
        <w:right w:val="none" w:sz="0" w:space="0" w:color="auto"/>
      </w:divBdr>
    </w:div>
    <w:div w:id="673990654">
      <w:bodyDiv w:val="1"/>
      <w:marLeft w:val="0"/>
      <w:marRight w:val="0"/>
      <w:marTop w:val="0"/>
      <w:marBottom w:val="0"/>
      <w:divBdr>
        <w:top w:val="none" w:sz="0" w:space="0" w:color="auto"/>
        <w:left w:val="none" w:sz="0" w:space="0" w:color="auto"/>
        <w:bottom w:val="none" w:sz="0" w:space="0" w:color="auto"/>
        <w:right w:val="none" w:sz="0" w:space="0" w:color="auto"/>
      </w:divBdr>
    </w:div>
    <w:div w:id="682316284">
      <w:bodyDiv w:val="1"/>
      <w:marLeft w:val="0"/>
      <w:marRight w:val="0"/>
      <w:marTop w:val="0"/>
      <w:marBottom w:val="0"/>
      <w:divBdr>
        <w:top w:val="none" w:sz="0" w:space="0" w:color="auto"/>
        <w:left w:val="none" w:sz="0" w:space="0" w:color="auto"/>
        <w:bottom w:val="none" w:sz="0" w:space="0" w:color="auto"/>
        <w:right w:val="none" w:sz="0" w:space="0" w:color="auto"/>
      </w:divBdr>
    </w:div>
    <w:div w:id="692077992">
      <w:bodyDiv w:val="1"/>
      <w:marLeft w:val="0"/>
      <w:marRight w:val="0"/>
      <w:marTop w:val="0"/>
      <w:marBottom w:val="0"/>
      <w:divBdr>
        <w:top w:val="none" w:sz="0" w:space="0" w:color="auto"/>
        <w:left w:val="none" w:sz="0" w:space="0" w:color="auto"/>
        <w:bottom w:val="none" w:sz="0" w:space="0" w:color="auto"/>
        <w:right w:val="none" w:sz="0" w:space="0" w:color="auto"/>
      </w:divBdr>
    </w:div>
    <w:div w:id="764156591">
      <w:bodyDiv w:val="1"/>
      <w:marLeft w:val="0"/>
      <w:marRight w:val="0"/>
      <w:marTop w:val="0"/>
      <w:marBottom w:val="0"/>
      <w:divBdr>
        <w:top w:val="none" w:sz="0" w:space="0" w:color="auto"/>
        <w:left w:val="none" w:sz="0" w:space="0" w:color="auto"/>
        <w:bottom w:val="none" w:sz="0" w:space="0" w:color="auto"/>
        <w:right w:val="none" w:sz="0" w:space="0" w:color="auto"/>
      </w:divBdr>
    </w:div>
    <w:div w:id="813379039">
      <w:bodyDiv w:val="1"/>
      <w:marLeft w:val="0"/>
      <w:marRight w:val="0"/>
      <w:marTop w:val="0"/>
      <w:marBottom w:val="0"/>
      <w:divBdr>
        <w:top w:val="none" w:sz="0" w:space="0" w:color="auto"/>
        <w:left w:val="none" w:sz="0" w:space="0" w:color="auto"/>
        <w:bottom w:val="none" w:sz="0" w:space="0" w:color="auto"/>
        <w:right w:val="none" w:sz="0" w:space="0" w:color="auto"/>
      </w:divBdr>
    </w:div>
    <w:div w:id="926692651">
      <w:bodyDiv w:val="1"/>
      <w:marLeft w:val="0"/>
      <w:marRight w:val="0"/>
      <w:marTop w:val="0"/>
      <w:marBottom w:val="0"/>
      <w:divBdr>
        <w:top w:val="none" w:sz="0" w:space="0" w:color="auto"/>
        <w:left w:val="none" w:sz="0" w:space="0" w:color="auto"/>
        <w:bottom w:val="none" w:sz="0" w:space="0" w:color="auto"/>
        <w:right w:val="none" w:sz="0" w:space="0" w:color="auto"/>
      </w:divBdr>
    </w:div>
    <w:div w:id="934095888">
      <w:bodyDiv w:val="1"/>
      <w:marLeft w:val="0"/>
      <w:marRight w:val="0"/>
      <w:marTop w:val="0"/>
      <w:marBottom w:val="0"/>
      <w:divBdr>
        <w:top w:val="none" w:sz="0" w:space="0" w:color="auto"/>
        <w:left w:val="none" w:sz="0" w:space="0" w:color="auto"/>
        <w:bottom w:val="none" w:sz="0" w:space="0" w:color="auto"/>
        <w:right w:val="none" w:sz="0" w:space="0" w:color="auto"/>
      </w:divBdr>
    </w:div>
    <w:div w:id="1080563898">
      <w:bodyDiv w:val="1"/>
      <w:marLeft w:val="0"/>
      <w:marRight w:val="0"/>
      <w:marTop w:val="0"/>
      <w:marBottom w:val="0"/>
      <w:divBdr>
        <w:top w:val="none" w:sz="0" w:space="0" w:color="auto"/>
        <w:left w:val="none" w:sz="0" w:space="0" w:color="auto"/>
        <w:bottom w:val="none" w:sz="0" w:space="0" w:color="auto"/>
        <w:right w:val="none" w:sz="0" w:space="0" w:color="auto"/>
      </w:divBdr>
    </w:div>
    <w:div w:id="1093932965">
      <w:bodyDiv w:val="1"/>
      <w:marLeft w:val="0"/>
      <w:marRight w:val="0"/>
      <w:marTop w:val="0"/>
      <w:marBottom w:val="0"/>
      <w:divBdr>
        <w:top w:val="none" w:sz="0" w:space="0" w:color="auto"/>
        <w:left w:val="none" w:sz="0" w:space="0" w:color="auto"/>
        <w:bottom w:val="none" w:sz="0" w:space="0" w:color="auto"/>
        <w:right w:val="none" w:sz="0" w:space="0" w:color="auto"/>
      </w:divBdr>
    </w:div>
    <w:div w:id="1146626604">
      <w:bodyDiv w:val="1"/>
      <w:marLeft w:val="0"/>
      <w:marRight w:val="0"/>
      <w:marTop w:val="0"/>
      <w:marBottom w:val="0"/>
      <w:divBdr>
        <w:top w:val="none" w:sz="0" w:space="0" w:color="auto"/>
        <w:left w:val="none" w:sz="0" w:space="0" w:color="auto"/>
        <w:bottom w:val="none" w:sz="0" w:space="0" w:color="auto"/>
        <w:right w:val="none" w:sz="0" w:space="0" w:color="auto"/>
      </w:divBdr>
    </w:div>
    <w:div w:id="1180008328">
      <w:bodyDiv w:val="1"/>
      <w:marLeft w:val="0"/>
      <w:marRight w:val="0"/>
      <w:marTop w:val="0"/>
      <w:marBottom w:val="0"/>
      <w:divBdr>
        <w:top w:val="none" w:sz="0" w:space="0" w:color="auto"/>
        <w:left w:val="none" w:sz="0" w:space="0" w:color="auto"/>
        <w:bottom w:val="none" w:sz="0" w:space="0" w:color="auto"/>
        <w:right w:val="none" w:sz="0" w:space="0" w:color="auto"/>
      </w:divBdr>
    </w:div>
    <w:div w:id="1235361618">
      <w:bodyDiv w:val="1"/>
      <w:marLeft w:val="0"/>
      <w:marRight w:val="0"/>
      <w:marTop w:val="0"/>
      <w:marBottom w:val="0"/>
      <w:divBdr>
        <w:top w:val="none" w:sz="0" w:space="0" w:color="auto"/>
        <w:left w:val="none" w:sz="0" w:space="0" w:color="auto"/>
        <w:bottom w:val="none" w:sz="0" w:space="0" w:color="auto"/>
        <w:right w:val="none" w:sz="0" w:space="0" w:color="auto"/>
      </w:divBdr>
    </w:div>
    <w:div w:id="1247572885">
      <w:bodyDiv w:val="1"/>
      <w:marLeft w:val="0"/>
      <w:marRight w:val="0"/>
      <w:marTop w:val="0"/>
      <w:marBottom w:val="0"/>
      <w:divBdr>
        <w:top w:val="none" w:sz="0" w:space="0" w:color="auto"/>
        <w:left w:val="none" w:sz="0" w:space="0" w:color="auto"/>
        <w:bottom w:val="none" w:sz="0" w:space="0" w:color="auto"/>
        <w:right w:val="none" w:sz="0" w:space="0" w:color="auto"/>
      </w:divBdr>
    </w:div>
    <w:div w:id="1315138848">
      <w:bodyDiv w:val="1"/>
      <w:marLeft w:val="0"/>
      <w:marRight w:val="0"/>
      <w:marTop w:val="0"/>
      <w:marBottom w:val="0"/>
      <w:divBdr>
        <w:top w:val="none" w:sz="0" w:space="0" w:color="auto"/>
        <w:left w:val="none" w:sz="0" w:space="0" w:color="auto"/>
        <w:bottom w:val="none" w:sz="0" w:space="0" w:color="auto"/>
        <w:right w:val="none" w:sz="0" w:space="0" w:color="auto"/>
      </w:divBdr>
    </w:div>
    <w:div w:id="1366905940">
      <w:bodyDiv w:val="1"/>
      <w:marLeft w:val="0"/>
      <w:marRight w:val="0"/>
      <w:marTop w:val="0"/>
      <w:marBottom w:val="0"/>
      <w:divBdr>
        <w:top w:val="none" w:sz="0" w:space="0" w:color="auto"/>
        <w:left w:val="none" w:sz="0" w:space="0" w:color="auto"/>
        <w:bottom w:val="none" w:sz="0" w:space="0" w:color="auto"/>
        <w:right w:val="none" w:sz="0" w:space="0" w:color="auto"/>
      </w:divBdr>
    </w:div>
    <w:div w:id="1371761660">
      <w:bodyDiv w:val="1"/>
      <w:marLeft w:val="0"/>
      <w:marRight w:val="0"/>
      <w:marTop w:val="0"/>
      <w:marBottom w:val="0"/>
      <w:divBdr>
        <w:top w:val="none" w:sz="0" w:space="0" w:color="auto"/>
        <w:left w:val="none" w:sz="0" w:space="0" w:color="auto"/>
        <w:bottom w:val="none" w:sz="0" w:space="0" w:color="auto"/>
        <w:right w:val="none" w:sz="0" w:space="0" w:color="auto"/>
      </w:divBdr>
    </w:div>
    <w:div w:id="1374428518">
      <w:bodyDiv w:val="1"/>
      <w:marLeft w:val="0"/>
      <w:marRight w:val="0"/>
      <w:marTop w:val="0"/>
      <w:marBottom w:val="0"/>
      <w:divBdr>
        <w:top w:val="none" w:sz="0" w:space="0" w:color="auto"/>
        <w:left w:val="none" w:sz="0" w:space="0" w:color="auto"/>
        <w:bottom w:val="none" w:sz="0" w:space="0" w:color="auto"/>
        <w:right w:val="none" w:sz="0" w:space="0" w:color="auto"/>
      </w:divBdr>
    </w:div>
    <w:div w:id="1378243167">
      <w:bodyDiv w:val="1"/>
      <w:marLeft w:val="0"/>
      <w:marRight w:val="0"/>
      <w:marTop w:val="0"/>
      <w:marBottom w:val="0"/>
      <w:divBdr>
        <w:top w:val="none" w:sz="0" w:space="0" w:color="auto"/>
        <w:left w:val="none" w:sz="0" w:space="0" w:color="auto"/>
        <w:bottom w:val="none" w:sz="0" w:space="0" w:color="auto"/>
        <w:right w:val="none" w:sz="0" w:space="0" w:color="auto"/>
      </w:divBdr>
    </w:div>
    <w:div w:id="1442073264">
      <w:bodyDiv w:val="1"/>
      <w:marLeft w:val="0"/>
      <w:marRight w:val="0"/>
      <w:marTop w:val="0"/>
      <w:marBottom w:val="0"/>
      <w:divBdr>
        <w:top w:val="none" w:sz="0" w:space="0" w:color="auto"/>
        <w:left w:val="none" w:sz="0" w:space="0" w:color="auto"/>
        <w:bottom w:val="none" w:sz="0" w:space="0" w:color="auto"/>
        <w:right w:val="none" w:sz="0" w:space="0" w:color="auto"/>
      </w:divBdr>
    </w:div>
    <w:div w:id="1471677440">
      <w:bodyDiv w:val="1"/>
      <w:marLeft w:val="0"/>
      <w:marRight w:val="0"/>
      <w:marTop w:val="0"/>
      <w:marBottom w:val="0"/>
      <w:divBdr>
        <w:top w:val="none" w:sz="0" w:space="0" w:color="auto"/>
        <w:left w:val="none" w:sz="0" w:space="0" w:color="auto"/>
        <w:bottom w:val="none" w:sz="0" w:space="0" w:color="auto"/>
        <w:right w:val="none" w:sz="0" w:space="0" w:color="auto"/>
      </w:divBdr>
    </w:div>
    <w:div w:id="1473474980">
      <w:bodyDiv w:val="1"/>
      <w:marLeft w:val="0"/>
      <w:marRight w:val="0"/>
      <w:marTop w:val="0"/>
      <w:marBottom w:val="0"/>
      <w:divBdr>
        <w:top w:val="none" w:sz="0" w:space="0" w:color="auto"/>
        <w:left w:val="none" w:sz="0" w:space="0" w:color="auto"/>
        <w:bottom w:val="none" w:sz="0" w:space="0" w:color="auto"/>
        <w:right w:val="none" w:sz="0" w:space="0" w:color="auto"/>
      </w:divBdr>
    </w:div>
    <w:div w:id="1478448926">
      <w:bodyDiv w:val="1"/>
      <w:marLeft w:val="0"/>
      <w:marRight w:val="0"/>
      <w:marTop w:val="0"/>
      <w:marBottom w:val="0"/>
      <w:divBdr>
        <w:top w:val="none" w:sz="0" w:space="0" w:color="auto"/>
        <w:left w:val="none" w:sz="0" w:space="0" w:color="auto"/>
        <w:bottom w:val="none" w:sz="0" w:space="0" w:color="auto"/>
        <w:right w:val="none" w:sz="0" w:space="0" w:color="auto"/>
      </w:divBdr>
    </w:div>
    <w:div w:id="1526290948">
      <w:bodyDiv w:val="1"/>
      <w:marLeft w:val="0"/>
      <w:marRight w:val="0"/>
      <w:marTop w:val="0"/>
      <w:marBottom w:val="0"/>
      <w:divBdr>
        <w:top w:val="none" w:sz="0" w:space="0" w:color="auto"/>
        <w:left w:val="none" w:sz="0" w:space="0" w:color="auto"/>
        <w:bottom w:val="none" w:sz="0" w:space="0" w:color="auto"/>
        <w:right w:val="none" w:sz="0" w:space="0" w:color="auto"/>
      </w:divBdr>
    </w:div>
    <w:div w:id="1536038383">
      <w:bodyDiv w:val="1"/>
      <w:marLeft w:val="0"/>
      <w:marRight w:val="0"/>
      <w:marTop w:val="0"/>
      <w:marBottom w:val="0"/>
      <w:divBdr>
        <w:top w:val="none" w:sz="0" w:space="0" w:color="auto"/>
        <w:left w:val="none" w:sz="0" w:space="0" w:color="auto"/>
        <w:bottom w:val="none" w:sz="0" w:space="0" w:color="auto"/>
        <w:right w:val="none" w:sz="0" w:space="0" w:color="auto"/>
      </w:divBdr>
    </w:div>
    <w:div w:id="1570572366">
      <w:bodyDiv w:val="1"/>
      <w:marLeft w:val="0"/>
      <w:marRight w:val="0"/>
      <w:marTop w:val="0"/>
      <w:marBottom w:val="0"/>
      <w:divBdr>
        <w:top w:val="none" w:sz="0" w:space="0" w:color="auto"/>
        <w:left w:val="none" w:sz="0" w:space="0" w:color="auto"/>
        <w:bottom w:val="none" w:sz="0" w:space="0" w:color="auto"/>
        <w:right w:val="none" w:sz="0" w:space="0" w:color="auto"/>
      </w:divBdr>
    </w:div>
    <w:div w:id="1575428081">
      <w:bodyDiv w:val="1"/>
      <w:marLeft w:val="0"/>
      <w:marRight w:val="0"/>
      <w:marTop w:val="0"/>
      <w:marBottom w:val="0"/>
      <w:divBdr>
        <w:top w:val="none" w:sz="0" w:space="0" w:color="auto"/>
        <w:left w:val="none" w:sz="0" w:space="0" w:color="auto"/>
        <w:bottom w:val="none" w:sz="0" w:space="0" w:color="auto"/>
        <w:right w:val="none" w:sz="0" w:space="0" w:color="auto"/>
      </w:divBdr>
    </w:div>
    <w:div w:id="1605989999">
      <w:bodyDiv w:val="1"/>
      <w:marLeft w:val="0"/>
      <w:marRight w:val="0"/>
      <w:marTop w:val="0"/>
      <w:marBottom w:val="0"/>
      <w:divBdr>
        <w:top w:val="none" w:sz="0" w:space="0" w:color="auto"/>
        <w:left w:val="none" w:sz="0" w:space="0" w:color="auto"/>
        <w:bottom w:val="none" w:sz="0" w:space="0" w:color="auto"/>
        <w:right w:val="none" w:sz="0" w:space="0" w:color="auto"/>
      </w:divBdr>
    </w:div>
    <w:div w:id="1660764655">
      <w:bodyDiv w:val="1"/>
      <w:marLeft w:val="0"/>
      <w:marRight w:val="0"/>
      <w:marTop w:val="0"/>
      <w:marBottom w:val="0"/>
      <w:divBdr>
        <w:top w:val="none" w:sz="0" w:space="0" w:color="auto"/>
        <w:left w:val="none" w:sz="0" w:space="0" w:color="auto"/>
        <w:bottom w:val="none" w:sz="0" w:space="0" w:color="auto"/>
        <w:right w:val="none" w:sz="0" w:space="0" w:color="auto"/>
      </w:divBdr>
    </w:div>
    <w:div w:id="1661616382">
      <w:bodyDiv w:val="1"/>
      <w:marLeft w:val="0"/>
      <w:marRight w:val="0"/>
      <w:marTop w:val="0"/>
      <w:marBottom w:val="0"/>
      <w:divBdr>
        <w:top w:val="none" w:sz="0" w:space="0" w:color="auto"/>
        <w:left w:val="none" w:sz="0" w:space="0" w:color="auto"/>
        <w:bottom w:val="none" w:sz="0" w:space="0" w:color="auto"/>
        <w:right w:val="none" w:sz="0" w:space="0" w:color="auto"/>
      </w:divBdr>
    </w:div>
    <w:div w:id="1756515706">
      <w:bodyDiv w:val="1"/>
      <w:marLeft w:val="0"/>
      <w:marRight w:val="0"/>
      <w:marTop w:val="0"/>
      <w:marBottom w:val="0"/>
      <w:divBdr>
        <w:top w:val="none" w:sz="0" w:space="0" w:color="auto"/>
        <w:left w:val="none" w:sz="0" w:space="0" w:color="auto"/>
        <w:bottom w:val="none" w:sz="0" w:space="0" w:color="auto"/>
        <w:right w:val="none" w:sz="0" w:space="0" w:color="auto"/>
      </w:divBdr>
    </w:div>
    <w:div w:id="1817137670">
      <w:bodyDiv w:val="1"/>
      <w:marLeft w:val="0"/>
      <w:marRight w:val="0"/>
      <w:marTop w:val="0"/>
      <w:marBottom w:val="0"/>
      <w:divBdr>
        <w:top w:val="none" w:sz="0" w:space="0" w:color="auto"/>
        <w:left w:val="none" w:sz="0" w:space="0" w:color="auto"/>
        <w:bottom w:val="none" w:sz="0" w:space="0" w:color="auto"/>
        <w:right w:val="none" w:sz="0" w:space="0" w:color="auto"/>
      </w:divBdr>
    </w:div>
    <w:div w:id="1843278235">
      <w:bodyDiv w:val="1"/>
      <w:marLeft w:val="0"/>
      <w:marRight w:val="0"/>
      <w:marTop w:val="0"/>
      <w:marBottom w:val="0"/>
      <w:divBdr>
        <w:top w:val="none" w:sz="0" w:space="0" w:color="auto"/>
        <w:left w:val="none" w:sz="0" w:space="0" w:color="auto"/>
        <w:bottom w:val="none" w:sz="0" w:space="0" w:color="auto"/>
        <w:right w:val="none" w:sz="0" w:space="0" w:color="auto"/>
      </w:divBdr>
    </w:div>
    <w:div w:id="1870335138">
      <w:bodyDiv w:val="1"/>
      <w:marLeft w:val="0"/>
      <w:marRight w:val="0"/>
      <w:marTop w:val="0"/>
      <w:marBottom w:val="0"/>
      <w:divBdr>
        <w:top w:val="none" w:sz="0" w:space="0" w:color="auto"/>
        <w:left w:val="none" w:sz="0" w:space="0" w:color="auto"/>
        <w:bottom w:val="none" w:sz="0" w:space="0" w:color="auto"/>
        <w:right w:val="none" w:sz="0" w:space="0" w:color="auto"/>
      </w:divBdr>
    </w:div>
    <w:div w:id="1956523474">
      <w:bodyDiv w:val="1"/>
      <w:marLeft w:val="0"/>
      <w:marRight w:val="0"/>
      <w:marTop w:val="0"/>
      <w:marBottom w:val="0"/>
      <w:divBdr>
        <w:top w:val="none" w:sz="0" w:space="0" w:color="auto"/>
        <w:left w:val="none" w:sz="0" w:space="0" w:color="auto"/>
        <w:bottom w:val="none" w:sz="0" w:space="0" w:color="auto"/>
        <w:right w:val="none" w:sz="0" w:space="0" w:color="auto"/>
      </w:divBdr>
    </w:div>
    <w:div w:id="1959874604">
      <w:bodyDiv w:val="1"/>
      <w:marLeft w:val="0"/>
      <w:marRight w:val="0"/>
      <w:marTop w:val="0"/>
      <w:marBottom w:val="0"/>
      <w:divBdr>
        <w:top w:val="none" w:sz="0" w:space="0" w:color="auto"/>
        <w:left w:val="none" w:sz="0" w:space="0" w:color="auto"/>
        <w:bottom w:val="none" w:sz="0" w:space="0" w:color="auto"/>
        <w:right w:val="none" w:sz="0" w:space="0" w:color="auto"/>
      </w:divBdr>
    </w:div>
    <w:div w:id="1969385892">
      <w:bodyDiv w:val="1"/>
      <w:marLeft w:val="0"/>
      <w:marRight w:val="0"/>
      <w:marTop w:val="0"/>
      <w:marBottom w:val="0"/>
      <w:divBdr>
        <w:top w:val="none" w:sz="0" w:space="0" w:color="auto"/>
        <w:left w:val="none" w:sz="0" w:space="0" w:color="auto"/>
        <w:bottom w:val="none" w:sz="0" w:space="0" w:color="auto"/>
        <w:right w:val="none" w:sz="0" w:space="0" w:color="auto"/>
      </w:divBdr>
    </w:div>
    <w:div w:id="2003846737">
      <w:bodyDiv w:val="1"/>
      <w:marLeft w:val="0"/>
      <w:marRight w:val="0"/>
      <w:marTop w:val="0"/>
      <w:marBottom w:val="0"/>
      <w:divBdr>
        <w:top w:val="none" w:sz="0" w:space="0" w:color="auto"/>
        <w:left w:val="none" w:sz="0" w:space="0" w:color="auto"/>
        <w:bottom w:val="none" w:sz="0" w:space="0" w:color="auto"/>
        <w:right w:val="none" w:sz="0" w:space="0" w:color="auto"/>
      </w:divBdr>
    </w:div>
    <w:div w:id="2045521463">
      <w:bodyDiv w:val="1"/>
      <w:marLeft w:val="0"/>
      <w:marRight w:val="0"/>
      <w:marTop w:val="0"/>
      <w:marBottom w:val="0"/>
      <w:divBdr>
        <w:top w:val="none" w:sz="0" w:space="0" w:color="auto"/>
        <w:left w:val="none" w:sz="0" w:space="0" w:color="auto"/>
        <w:bottom w:val="none" w:sz="0" w:space="0" w:color="auto"/>
        <w:right w:val="none" w:sz="0" w:space="0" w:color="auto"/>
      </w:divBdr>
    </w:div>
    <w:div w:id="2059933696">
      <w:bodyDiv w:val="1"/>
      <w:marLeft w:val="0"/>
      <w:marRight w:val="0"/>
      <w:marTop w:val="0"/>
      <w:marBottom w:val="0"/>
      <w:divBdr>
        <w:top w:val="none" w:sz="0" w:space="0" w:color="auto"/>
        <w:left w:val="none" w:sz="0" w:space="0" w:color="auto"/>
        <w:bottom w:val="none" w:sz="0" w:space="0" w:color="auto"/>
        <w:right w:val="none" w:sz="0" w:space="0" w:color="auto"/>
      </w:divBdr>
    </w:div>
    <w:div w:id="2060473713">
      <w:bodyDiv w:val="1"/>
      <w:marLeft w:val="0"/>
      <w:marRight w:val="0"/>
      <w:marTop w:val="0"/>
      <w:marBottom w:val="0"/>
      <w:divBdr>
        <w:top w:val="none" w:sz="0" w:space="0" w:color="auto"/>
        <w:left w:val="none" w:sz="0" w:space="0" w:color="auto"/>
        <w:bottom w:val="none" w:sz="0" w:space="0" w:color="auto"/>
        <w:right w:val="none" w:sz="0" w:space="0" w:color="auto"/>
      </w:divBdr>
    </w:div>
    <w:div w:id="2089111310">
      <w:bodyDiv w:val="1"/>
      <w:marLeft w:val="0"/>
      <w:marRight w:val="0"/>
      <w:marTop w:val="0"/>
      <w:marBottom w:val="0"/>
      <w:divBdr>
        <w:top w:val="none" w:sz="0" w:space="0" w:color="auto"/>
        <w:left w:val="none" w:sz="0" w:space="0" w:color="auto"/>
        <w:bottom w:val="none" w:sz="0" w:space="0" w:color="auto"/>
        <w:right w:val="none" w:sz="0" w:space="0" w:color="auto"/>
      </w:divBdr>
    </w:div>
    <w:div w:id="2121487431">
      <w:bodyDiv w:val="1"/>
      <w:marLeft w:val="0"/>
      <w:marRight w:val="0"/>
      <w:marTop w:val="0"/>
      <w:marBottom w:val="0"/>
      <w:divBdr>
        <w:top w:val="none" w:sz="0" w:space="0" w:color="auto"/>
        <w:left w:val="none" w:sz="0" w:space="0" w:color="auto"/>
        <w:bottom w:val="none" w:sz="0" w:space="0" w:color="auto"/>
        <w:right w:val="none" w:sz="0" w:space="0" w:color="auto"/>
      </w:divBdr>
    </w:div>
    <w:div w:id="2123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5B7F6-10C1-46E5-B502-B65C3A71BE0D}">
  <ds:schemaRefs>
    <ds:schemaRef ds:uri="http://schemas.microsoft.com/sharepoint/v3/contenttype/forms"/>
  </ds:schemaRefs>
</ds:datastoreItem>
</file>

<file path=customXml/itemProps2.xml><?xml version="1.0" encoding="utf-8"?>
<ds:datastoreItem xmlns:ds="http://schemas.openxmlformats.org/officeDocument/2006/customXml" ds:itemID="{B625E38E-CB72-4D35-B0F8-5533D6ABDC1D}">
  <ds:schemaRefs>
    <ds:schemaRef ds:uri="http://schemas.openxmlformats.org/officeDocument/2006/bibliography"/>
  </ds:schemaRefs>
</ds:datastoreItem>
</file>

<file path=customXml/itemProps3.xml><?xml version="1.0" encoding="utf-8"?>
<ds:datastoreItem xmlns:ds="http://schemas.openxmlformats.org/officeDocument/2006/customXml" ds:itemID="{13BC5BDA-9C01-45D1-82BC-06AB4F0F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D2F3C-B9A9-4D9D-93AE-8A7E59B5E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Christian</dc:creator>
  <cp:keywords/>
  <dc:description/>
  <cp:lastModifiedBy>Mansfield, Joanne</cp:lastModifiedBy>
  <cp:revision>5</cp:revision>
  <cp:lastPrinted>2020-02-07T11:21:00Z</cp:lastPrinted>
  <dcterms:created xsi:type="dcterms:W3CDTF">2021-06-16T09:03:00Z</dcterms:created>
  <dcterms:modified xsi:type="dcterms:W3CDTF">2021-06-17T10:05:00Z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